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Toc519686127" w:displacedByCustomXml="next"/>
    <w:bookmarkStart w:id="1" w:name="_Toc517872420" w:displacedByCustomXml="next"/>
    <w:sdt>
      <w:sdtPr>
        <w:rPr>
          <w:rFonts w:cstheme="minorBidi"/>
          <w:b w:val="0"/>
          <w:bCs w:val="0"/>
          <w:color w:val="auto"/>
          <w:sz w:val="20"/>
          <w:szCs w:val="22"/>
        </w:rPr>
        <w:id w:val="-698855712"/>
        <w:docPartObj>
          <w:docPartGallery w:val="Bibliographies"/>
          <w:docPartUnique/>
        </w:docPartObj>
      </w:sdtPr>
      <w:sdtEndPr/>
      <w:sdtContent>
        <w:p w14:paraId="314B32C2" w14:textId="4D6FFCDD" w:rsidR="00BD7E1E" w:rsidRPr="00731310" w:rsidRDefault="00E77548" w:rsidP="00731310">
          <w:pPr>
            <w:pStyle w:val="Heading1"/>
            <w:pBdr>
              <w:bottom w:val="none" w:sz="0" w:space="0" w:color="auto"/>
            </w:pBdr>
          </w:pPr>
          <w:r w:rsidRPr="00E77548">
            <w:t>Health and Movement Science 11–12 and</w:t>
          </w:r>
          <w:r>
            <w:t xml:space="preserve"> </w:t>
          </w:r>
          <w:r w:rsidRPr="00E77548">
            <w:t>Health and Movement Science Life Skills 11–12</w:t>
          </w:r>
          <w:r w:rsidR="00510C0F">
            <w:t xml:space="preserve"> (2023)</w:t>
          </w:r>
          <w:r w:rsidRPr="00E77548">
            <w:t xml:space="preserve">: </w:t>
          </w:r>
          <w:r w:rsidR="00CF4CA3" w:rsidRPr="00731310">
            <w:t>Bibliography</w:t>
          </w:r>
        </w:p>
        <w:p w14:paraId="5469762B" w14:textId="365D9B68" w:rsidR="008936E9" w:rsidRPr="008936E9" w:rsidRDefault="003931E2" w:rsidP="008936E9">
          <w:pPr>
            <w:pStyle w:val="Bibliography"/>
            <w:rPr>
              <w:rStyle w:val="Hyperlink"/>
            </w:rPr>
          </w:pPr>
          <w:r w:rsidRPr="00396984">
            <w:rPr>
              <w:noProof/>
              <w:sz w:val="20"/>
              <w:szCs w:val="20"/>
            </w:rPr>
            <w:t>Australian Government (2005) The</w:t>
          </w:r>
          <w:r w:rsidRPr="00396984">
            <w:rPr>
              <w:i/>
              <w:iCs/>
              <w:noProof/>
              <w:sz w:val="20"/>
              <w:szCs w:val="20"/>
            </w:rPr>
            <w:t xml:space="preserve"> Disability Standards for Education 2005</w:t>
          </w:r>
          <w:r w:rsidRPr="00396984">
            <w:rPr>
              <w:noProof/>
              <w:sz w:val="20"/>
              <w:szCs w:val="20"/>
            </w:rPr>
            <w:t xml:space="preserve">, Department of Education and the Department of Employment and Workplace Relations website, accessed </w:t>
          </w:r>
          <w:r w:rsidR="009B72F1">
            <w:rPr>
              <w:noProof/>
              <w:sz w:val="20"/>
              <w:szCs w:val="20"/>
            </w:rPr>
            <w:t>16 June 2020</w:t>
          </w:r>
          <w:r w:rsidRPr="00396984">
            <w:rPr>
              <w:noProof/>
              <w:sz w:val="20"/>
              <w:szCs w:val="20"/>
            </w:rPr>
            <w:t xml:space="preserve">. </w:t>
          </w:r>
          <w:r w:rsidR="008936E9" w:rsidRPr="008936E9">
            <w:rPr>
              <w:rStyle w:val="Hyperlink"/>
              <w:szCs w:val="20"/>
            </w:rPr>
            <w:t>https://www.education.gov.au/disability-standards-education-2005</w:t>
          </w:r>
        </w:p>
        <w:p w14:paraId="0C26E0AC" w14:textId="394AAAF7" w:rsidR="00CF4CA3" w:rsidRPr="00D63CB5" w:rsidRDefault="00CF4CA3" w:rsidP="00CF4CA3">
          <w:pPr>
            <w:pStyle w:val="Bibliography"/>
            <w:rPr>
              <w:noProof/>
              <w:sz w:val="24"/>
            </w:rPr>
          </w:pPr>
          <w:r w:rsidRPr="00CF4CA3">
            <w:rPr>
              <w:noProof/>
              <w:sz w:val="20"/>
              <w:szCs w:val="22"/>
            </w:rPr>
            <w:t xml:space="preserve">Australian Institute of Health and Welfare (2016) </w:t>
          </w:r>
          <w:r w:rsidRPr="00CF4CA3">
            <w:rPr>
              <w:i/>
              <w:iCs/>
              <w:noProof/>
              <w:sz w:val="20"/>
              <w:szCs w:val="22"/>
            </w:rPr>
            <w:t>Australia’s health 2016</w:t>
          </w:r>
          <w:r w:rsidRPr="00CF4CA3">
            <w:rPr>
              <w:noProof/>
              <w:sz w:val="20"/>
              <w:szCs w:val="22"/>
            </w:rPr>
            <w:t xml:space="preserve">, Australian Institute of Health and Welfare </w:t>
          </w:r>
          <w:r>
            <w:rPr>
              <w:noProof/>
              <w:sz w:val="20"/>
              <w:szCs w:val="22"/>
            </w:rPr>
            <w:t>website</w:t>
          </w:r>
          <w:r w:rsidR="00477749">
            <w:rPr>
              <w:noProof/>
              <w:sz w:val="20"/>
              <w:szCs w:val="22"/>
            </w:rPr>
            <w:t>,</w:t>
          </w:r>
          <w:r w:rsidR="003931E2">
            <w:rPr>
              <w:noProof/>
              <w:sz w:val="20"/>
              <w:szCs w:val="22"/>
            </w:rPr>
            <w:t xml:space="preserve"> </w:t>
          </w:r>
          <w:r w:rsidR="009B72F1" w:rsidRPr="00396984">
            <w:rPr>
              <w:noProof/>
              <w:sz w:val="20"/>
              <w:szCs w:val="20"/>
            </w:rPr>
            <w:t xml:space="preserve">accessed </w:t>
          </w:r>
          <w:r w:rsidR="009B72F1">
            <w:rPr>
              <w:noProof/>
              <w:sz w:val="20"/>
              <w:szCs w:val="20"/>
            </w:rPr>
            <w:t>16 June 2020</w:t>
          </w:r>
          <w:r w:rsidR="00477749">
            <w:rPr>
              <w:noProof/>
            </w:rPr>
            <w:t>.</w:t>
          </w:r>
          <w:r w:rsidRPr="00CF4CA3">
            <w:rPr>
              <w:noProof/>
              <w:sz w:val="20"/>
              <w:szCs w:val="22"/>
            </w:rPr>
            <w:t xml:space="preserve"> </w:t>
          </w:r>
          <w:hyperlink r:id="rId8" w:history="1">
            <w:r w:rsidRPr="000C313C">
              <w:rPr>
                <w:rStyle w:val="Hyperlink"/>
                <w:noProof/>
                <w:szCs w:val="22"/>
              </w:rPr>
              <w:t>https://www.aihw.gov.au/reports/australias-health/australias-health-2016/contents/summary</w:t>
            </w:r>
          </w:hyperlink>
        </w:p>
        <w:p w14:paraId="4A85DD1B" w14:textId="51F64F51" w:rsidR="00CF4CA3" w:rsidRDefault="00CF4CA3" w:rsidP="00CF4CA3">
          <w:pPr>
            <w:pStyle w:val="Bibliography"/>
            <w:rPr>
              <w:rStyle w:val="Hyperlink"/>
              <w:noProof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Australian Institute of Health and Welfare (2017) </w:t>
          </w:r>
          <w:r w:rsidRPr="00CF4CA3">
            <w:rPr>
              <w:i/>
              <w:iCs/>
              <w:noProof/>
              <w:sz w:val="20"/>
              <w:szCs w:val="22"/>
            </w:rPr>
            <w:t>Health expenditure Australia 2015–16</w:t>
          </w:r>
          <w:r w:rsidRPr="00CF4CA3">
            <w:rPr>
              <w:noProof/>
              <w:sz w:val="20"/>
              <w:szCs w:val="22"/>
            </w:rPr>
            <w:t xml:space="preserve">, Australian Institute of Health and Welfare </w:t>
          </w:r>
          <w:r>
            <w:rPr>
              <w:noProof/>
              <w:sz w:val="20"/>
              <w:szCs w:val="22"/>
            </w:rPr>
            <w:t>website</w:t>
          </w:r>
          <w:r w:rsidR="00477749">
            <w:rPr>
              <w:noProof/>
              <w:sz w:val="20"/>
              <w:szCs w:val="22"/>
            </w:rPr>
            <w:t>,</w:t>
          </w:r>
          <w:r w:rsidR="003931E2">
            <w:rPr>
              <w:noProof/>
              <w:sz w:val="20"/>
              <w:szCs w:val="22"/>
            </w:rPr>
            <w:t xml:space="preserve"> </w:t>
          </w:r>
          <w:r w:rsidR="009B72F1" w:rsidRPr="00396984">
            <w:rPr>
              <w:noProof/>
              <w:sz w:val="20"/>
              <w:szCs w:val="20"/>
            </w:rPr>
            <w:t xml:space="preserve">accessed </w:t>
          </w:r>
          <w:r w:rsidR="009B72F1">
            <w:rPr>
              <w:noProof/>
              <w:sz w:val="20"/>
              <w:szCs w:val="20"/>
            </w:rPr>
            <w:t>16 June 2020</w:t>
          </w:r>
          <w:r w:rsidR="00477749">
            <w:rPr>
              <w:noProof/>
              <w:sz w:val="20"/>
              <w:szCs w:val="22"/>
            </w:rPr>
            <w:t xml:space="preserve">. </w:t>
          </w:r>
          <w:hyperlink r:id="rId9" w:history="1">
            <w:r w:rsidR="00477749" w:rsidRPr="003160BC">
              <w:rPr>
                <w:rStyle w:val="Hyperlink"/>
                <w:noProof/>
                <w:szCs w:val="22"/>
              </w:rPr>
              <w:t>https://www.aihw.gov.au/reports-statistics/health-welfare-overview/health-welfare-expenditure/overview</w:t>
            </w:r>
          </w:hyperlink>
        </w:p>
        <w:p w14:paraId="246E3D88" w14:textId="719E0384" w:rsidR="006F3330" w:rsidRPr="006F3330" w:rsidRDefault="00EC1073" w:rsidP="006F3330">
          <w:pPr>
            <w:pStyle w:val="Bibliography"/>
            <w:rPr>
              <w:noProof/>
              <w:sz w:val="20"/>
              <w:szCs w:val="22"/>
            </w:rPr>
          </w:pPr>
          <w:r>
            <w:rPr>
              <w:noProof/>
              <w:sz w:val="20"/>
              <w:szCs w:val="22"/>
            </w:rPr>
            <w:t xml:space="preserve">The </w:t>
          </w:r>
          <w:r w:rsidR="006F3330" w:rsidRPr="00CF4CA3">
            <w:rPr>
              <w:noProof/>
              <w:sz w:val="20"/>
              <w:szCs w:val="22"/>
            </w:rPr>
            <w:t xml:space="preserve">Australian Prevention Partnership Centre (2018) </w:t>
          </w:r>
          <w:r w:rsidR="006F3330" w:rsidRPr="00CF4CA3">
            <w:rPr>
              <w:i/>
              <w:iCs/>
              <w:noProof/>
              <w:sz w:val="20"/>
              <w:szCs w:val="22"/>
            </w:rPr>
            <w:t>What is the burden of chronic disease?</w:t>
          </w:r>
          <w:r w:rsidR="006F3330" w:rsidRPr="00CF4CA3">
            <w:rPr>
              <w:noProof/>
              <w:sz w:val="20"/>
              <w:szCs w:val="22"/>
            </w:rPr>
            <w:t xml:space="preserve">, The Australian Prevention Partnership Centre </w:t>
          </w:r>
          <w:r w:rsidR="006F3330">
            <w:rPr>
              <w:noProof/>
              <w:sz w:val="20"/>
              <w:szCs w:val="22"/>
            </w:rPr>
            <w:t>website</w:t>
          </w:r>
          <w:r w:rsidR="00477749">
            <w:rPr>
              <w:noProof/>
              <w:sz w:val="20"/>
              <w:szCs w:val="22"/>
            </w:rPr>
            <w:t>,</w:t>
          </w:r>
          <w:r w:rsidR="003931E2">
            <w:rPr>
              <w:noProof/>
              <w:sz w:val="20"/>
              <w:szCs w:val="22"/>
            </w:rPr>
            <w:t xml:space="preserve"> </w:t>
          </w:r>
          <w:r w:rsidR="009B72F1" w:rsidRPr="00396984">
            <w:rPr>
              <w:noProof/>
              <w:sz w:val="20"/>
              <w:szCs w:val="20"/>
            </w:rPr>
            <w:t xml:space="preserve">accessed </w:t>
          </w:r>
          <w:r w:rsidR="009B72F1">
            <w:rPr>
              <w:noProof/>
              <w:sz w:val="20"/>
              <w:szCs w:val="20"/>
            </w:rPr>
            <w:t xml:space="preserve">16 June </w:t>
          </w:r>
          <w:r w:rsidR="009B72F1" w:rsidRPr="009B72F1">
            <w:rPr>
              <w:noProof/>
              <w:sz w:val="20"/>
              <w:szCs w:val="20"/>
            </w:rPr>
            <w:t>2020</w:t>
          </w:r>
          <w:r w:rsidR="00477749" w:rsidRPr="009B72F1">
            <w:rPr>
              <w:noProof/>
            </w:rPr>
            <w:t>.</w:t>
          </w:r>
          <w:r w:rsidR="006F3330" w:rsidRPr="00CF4CA3">
            <w:rPr>
              <w:noProof/>
              <w:sz w:val="20"/>
              <w:szCs w:val="22"/>
            </w:rPr>
            <w:t xml:space="preserve"> </w:t>
          </w:r>
          <w:hyperlink r:id="rId10" w:history="1">
            <w:r w:rsidR="006F3330" w:rsidRPr="000C313C">
              <w:rPr>
                <w:rStyle w:val="Hyperlink"/>
                <w:noProof/>
                <w:szCs w:val="22"/>
              </w:rPr>
              <w:t>http://preventioncentre.org.au/about-prevention/what-is-the-burden-of-chronic-disease/</w:t>
            </w:r>
          </w:hyperlink>
        </w:p>
        <w:p w14:paraId="0C803E9C" w14:textId="77777777" w:rsidR="00CF4CA3" w:rsidRP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Bytomski J (2017) 'Fuelling for performance', </w:t>
          </w:r>
          <w:r w:rsidRPr="00CF4CA3">
            <w:rPr>
              <w:i/>
              <w:iCs/>
              <w:noProof/>
              <w:sz w:val="20"/>
              <w:szCs w:val="22"/>
            </w:rPr>
            <w:t>Sports Health</w:t>
          </w:r>
          <w:r w:rsidRPr="00CF4CA3">
            <w:rPr>
              <w:noProof/>
              <w:sz w:val="20"/>
              <w:szCs w:val="22"/>
            </w:rPr>
            <w:t>, 10(1):47–53, doi:10.1177/1941738117743913.</w:t>
          </w:r>
        </w:p>
        <w:p w14:paraId="1559D5ED" w14:textId="25EDC7D4" w:rsid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Maffetone PB and Laursen PB (2017) 'Reductions in training load and dietary carbohydrates help restore health and improve performance in an Ironman triathlete', </w:t>
          </w:r>
          <w:r w:rsidRPr="00CF4CA3">
            <w:rPr>
              <w:i/>
              <w:iCs/>
              <w:noProof/>
              <w:sz w:val="20"/>
              <w:szCs w:val="22"/>
            </w:rPr>
            <w:t>International Journal of Sports Science and Coaching</w:t>
          </w:r>
          <w:r w:rsidRPr="00CF4CA3">
            <w:rPr>
              <w:noProof/>
              <w:sz w:val="20"/>
              <w:szCs w:val="22"/>
            </w:rPr>
            <w:t>, 12(4):514–519, doi:10.1177/1747954117717873.</w:t>
          </w:r>
        </w:p>
        <w:p w14:paraId="2E17C511" w14:textId="24CA328A" w:rsidR="003931E2" w:rsidRPr="00396984" w:rsidRDefault="003931E2" w:rsidP="003931E2">
          <w:pPr>
            <w:pStyle w:val="Bibliography"/>
            <w:rPr>
              <w:noProof/>
              <w:sz w:val="20"/>
              <w:szCs w:val="20"/>
            </w:rPr>
          </w:pPr>
          <w:r w:rsidRPr="00396984">
            <w:rPr>
              <w:noProof/>
              <w:sz w:val="20"/>
              <w:szCs w:val="20"/>
            </w:rPr>
            <w:t xml:space="preserve">Masters G (2020) </w:t>
          </w:r>
          <w:r w:rsidRPr="00396984">
            <w:rPr>
              <w:i/>
              <w:iCs/>
              <w:noProof/>
              <w:sz w:val="20"/>
              <w:szCs w:val="20"/>
            </w:rPr>
            <w:t>Nurturing wonder and igniting passion, designs for a new school curriculum: NSW curriculum review</w:t>
          </w:r>
          <w:r w:rsidRPr="00396984">
            <w:rPr>
              <w:noProof/>
              <w:sz w:val="20"/>
              <w:szCs w:val="20"/>
            </w:rPr>
            <w:t xml:space="preserve">, NSW Education Standards Authority. </w:t>
          </w:r>
          <w:r w:rsidRPr="008936E9">
            <w:rPr>
              <w:rStyle w:val="Hyperlink"/>
              <w:szCs w:val="20"/>
            </w:rPr>
            <w:t>https://research.acer.edu.au/nswcurriculumreview/6</w:t>
          </w:r>
        </w:p>
        <w:p w14:paraId="32709008" w14:textId="77777777" w:rsidR="00CF4CA3" w:rsidRP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McLaren SJ, Macpherson TW, Coutts AJ, Hurst C, Spears IR and Weston M (2018) 'The relationships between internal and external measures of training load and intensity in team sports: a meta-analysis', </w:t>
          </w:r>
          <w:r w:rsidRPr="00CF4CA3">
            <w:rPr>
              <w:i/>
              <w:iCs/>
              <w:noProof/>
              <w:sz w:val="20"/>
              <w:szCs w:val="22"/>
            </w:rPr>
            <w:t>Sports Medicine</w:t>
          </w:r>
          <w:r w:rsidRPr="00CF4CA3">
            <w:rPr>
              <w:noProof/>
              <w:sz w:val="20"/>
              <w:szCs w:val="22"/>
            </w:rPr>
            <w:t>, 48(3):641–658, doi:10.1007/s40279-017-0830-z.</w:t>
          </w:r>
        </w:p>
        <w:p w14:paraId="23525FD2" w14:textId="51E450D6" w:rsidR="00CF4CA3" w:rsidRP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McLennan N and Thompson J (2015) </w:t>
          </w:r>
          <w:r w:rsidRPr="00CF4CA3">
            <w:rPr>
              <w:i/>
              <w:iCs/>
              <w:noProof/>
              <w:sz w:val="20"/>
              <w:szCs w:val="22"/>
            </w:rPr>
            <w:t>Quality Physical Education (QPE) – guidelines for policy-makers</w:t>
          </w:r>
          <w:r w:rsidRPr="00CF4CA3">
            <w:rPr>
              <w:noProof/>
              <w:sz w:val="20"/>
              <w:szCs w:val="22"/>
            </w:rPr>
            <w:t xml:space="preserve">, </w:t>
          </w:r>
          <w:r w:rsidR="00E742F0">
            <w:rPr>
              <w:noProof/>
              <w:sz w:val="20"/>
              <w:szCs w:val="22"/>
            </w:rPr>
            <w:t>UNESCO (</w:t>
          </w:r>
          <w:r w:rsidRPr="00CF4CA3">
            <w:rPr>
              <w:noProof/>
              <w:sz w:val="20"/>
              <w:szCs w:val="22"/>
            </w:rPr>
            <w:t>United Nations Educational, Scientific and Cultural Organization</w:t>
          </w:r>
          <w:r w:rsidR="00E742F0">
            <w:rPr>
              <w:noProof/>
              <w:sz w:val="20"/>
              <w:szCs w:val="22"/>
            </w:rPr>
            <w:t>)</w:t>
          </w:r>
          <w:r w:rsidR="00D63CB5">
            <w:rPr>
              <w:noProof/>
              <w:sz w:val="20"/>
              <w:szCs w:val="22"/>
            </w:rPr>
            <w:t xml:space="preserve"> website</w:t>
          </w:r>
          <w:r w:rsidR="00477749">
            <w:rPr>
              <w:noProof/>
              <w:sz w:val="20"/>
              <w:szCs w:val="22"/>
            </w:rPr>
            <w:t>,</w:t>
          </w:r>
          <w:r w:rsidRPr="00CF4CA3">
            <w:rPr>
              <w:noProof/>
              <w:sz w:val="20"/>
              <w:szCs w:val="22"/>
            </w:rPr>
            <w:t xml:space="preserve"> </w:t>
          </w:r>
          <w:r w:rsidR="009B72F1" w:rsidRPr="00396984">
            <w:rPr>
              <w:noProof/>
              <w:sz w:val="20"/>
              <w:szCs w:val="20"/>
            </w:rPr>
            <w:t xml:space="preserve">accessed </w:t>
          </w:r>
          <w:r w:rsidR="009B72F1">
            <w:rPr>
              <w:noProof/>
              <w:sz w:val="20"/>
              <w:szCs w:val="20"/>
            </w:rPr>
            <w:t>16 June 2020</w:t>
          </w:r>
          <w:r w:rsidR="00477749" w:rsidRPr="009B72F1">
            <w:rPr>
              <w:noProof/>
            </w:rPr>
            <w:t>.</w:t>
          </w:r>
          <w:r w:rsidR="003931E2" w:rsidRPr="00CF4CA3">
            <w:rPr>
              <w:noProof/>
              <w:sz w:val="20"/>
              <w:szCs w:val="22"/>
            </w:rPr>
            <w:t xml:space="preserve"> </w:t>
          </w:r>
          <w:hyperlink r:id="rId11" w:history="1">
            <w:r w:rsidR="00D63CB5" w:rsidRPr="000C313C">
              <w:rPr>
                <w:rStyle w:val="Hyperlink"/>
                <w:noProof/>
                <w:szCs w:val="22"/>
              </w:rPr>
              <w:t>https://unesdoc.unesco.org/ark:/48223/pf0000231101</w:t>
            </w:r>
          </w:hyperlink>
        </w:p>
        <w:p w14:paraId="2A32B7C2" w14:textId="279D95E5" w:rsidR="00CF4CA3" w:rsidRP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National Health and Medical Research Council (2003) </w:t>
          </w:r>
          <w:r w:rsidRPr="00CF4CA3">
            <w:rPr>
              <w:i/>
              <w:iCs/>
              <w:noProof/>
              <w:sz w:val="20"/>
              <w:szCs w:val="22"/>
            </w:rPr>
            <w:t>Values and ethics: guidelines for ethical conduct in Aboriginal and Torres Strait Islander health research</w:t>
          </w:r>
          <w:r w:rsidRPr="00CF4CA3">
            <w:rPr>
              <w:noProof/>
              <w:sz w:val="20"/>
              <w:szCs w:val="22"/>
            </w:rPr>
            <w:t xml:space="preserve">, National Health and Medical Research Council </w:t>
          </w:r>
          <w:r>
            <w:rPr>
              <w:noProof/>
              <w:sz w:val="20"/>
              <w:szCs w:val="22"/>
            </w:rPr>
            <w:t>website</w:t>
          </w:r>
          <w:r w:rsidR="00477749">
            <w:rPr>
              <w:noProof/>
              <w:sz w:val="20"/>
              <w:szCs w:val="22"/>
            </w:rPr>
            <w:t>,</w:t>
          </w:r>
          <w:r w:rsidR="003931E2">
            <w:rPr>
              <w:noProof/>
              <w:sz w:val="20"/>
              <w:szCs w:val="22"/>
            </w:rPr>
            <w:t xml:space="preserve"> </w:t>
          </w:r>
          <w:r w:rsidR="009B72F1" w:rsidRPr="00396984">
            <w:rPr>
              <w:noProof/>
              <w:sz w:val="20"/>
              <w:szCs w:val="20"/>
            </w:rPr>
            <w:t xml:space="preserve">accessed </w:t>
          </w:r>
          <w:r w:rsidR="009B72F1">
            <w:rPr>
              <w:noProof/>
              <w:sz w:val="20"/>
              <w:szCs w:val="20"/>
            </w:rPr>
            <w:t>16 June 2020</w:t>
          </w:r>
          <w:r w:rsidR="009B72F1" w:rsidRPr="009B72F1">
            <w:rPr>
              <w:noProof/>
            </w:rPr>
            <w:t>.</w:t>
          </w:r>
          <w:r w:rsidR="009B72F1">
            <w:rPr>
              <w:noProof/>
            </w:rPr>
            <w:t xml:space="preserve"> </w:t>
          </w:r>
          <w:hyperlink r:id="rId12" w:history="1">
            <w:r w:rsidR="00D63CB5" w:rsidRPr="000C313C">
              <w:rPr>
                <w:rStyle w:val="Hyperlink"/>
                <w:noProof/>
                <w:szCs w:val="22"/>
              </w:rPr>
              <w:t>https://www.nhmrc.gov.au/about-us/publications/values-and-ethics-guidelines-ethical-conduct-aboriginal-and-torres-strait-islander-health-research</w:t>
            </w:r>
          </w:hyperlink>
        </w:p>
        <w:p w14:paraId="76C0575A" w14:textId="13F82EF8" w:rsidR="00CF4CA3" w:rsidRDefault="00CF4CA3" w:rsidP="00CF4CA3">
          <w:pPr>
            <w:pStyle w:val="Bibliography"/>
            <w:rPr>
              <w:rStyle w:val="Hyperlink"/>
              <w:noProof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National Health and Medical Research Council (2006) </w:t>
          </w:r>
          <w:r w:rsidRPr="00CF4CA3">
            <w:rPr>
              <w:i/>
              <w:iCs/>
              <w:noProof/>
              <w:sz w:val="20"/>
              <w:szCs w:val="22"/>
            </w:rPr>
            <w:t>Keeping research on track: a guide for Aboriginal and Torres Strait Islander peoples about health research ethics</w:t>
          </w:r>
          <w:r w:rsidRPr="00CF4CA3">
            <w:rPr>
              <w:noProof/>
              <w:sz w:val="20"/>
              <w:szCs w:val="22"/>
            </w:rPr>
            <w:t xml:space="preserve">, National Health and Medical Research Council </w:t>
          </w:r>
          <w:r>
            <w:rPr>
              <w:noProof/>
              <w:sz w:val="20"/>
              <w:szCs w:val="22"/>
            </w:rPr>
            <w:t>website</w:t>
          </w:r>
          <w:r w:rsidRPr="00CF4CA3">
            <w:rPr>
              <w:noProof/>
              <w:sz w:val="20"/>
              <w:szCs w:val="22"/>
            </w:rPr>
            <w:t xml:space="preserve">. </w:t>
          </w:r>
          <w:hyperlink r:id="rId13" w:history="1">
            <w:r w:rsidRPr="007739CC">
              <w:rPr>
                <w:rStyle w:val="Hyperlink"/>
                <w:noProof/>
                <w:szCs w:val="22"/>
              </w:rPr>
              <w:t>https://www.nhmrc.gov.au/guidelines-publications/e65</w:t>
            </w:r>
          </w:hyperlink>
        </w:p>
        <w:p w14:paraId="332E9419" w14:textId="63D90579" w:rsidR="003931E2" w:rsidRPr="00396984" w:rsidRDefault="003931E2" w:rsidP="003931E2">
          <w:pPr>
            <w:pStyle w:val="Bibliography"/>
            <w:rPr>
              <w:noProof/>
              <w:sz w:val="20"/>
              <w:szCs w:val="20"/>
            </w:rPr>
          </w:pPr>
          <w:r w:rsidRPr="00396984">
            <w:rPr>
              <w:noProof/>
              <w:sz w:val="20"/>
              <w:szCs w:val="20"/>
            </w:rPr>
            <w:lastRenderedPageBreak/>
            <w:t xml:space="preserve">NESA (NSW Education Standards Authority) (n.d.) </w:t>
          </w:r>
          <w:r w:rsidRPr="00396984">
            <w:rPr>
              <w:i/>
              <w:iCs/>
              <w:noProof/>
              <w:sz w:val="20"/>
              <w:szCs w:val="20"/>
            </w:rPr>
            <w:t>Statement of Equity Principles</w:t>
          </w:r>
          <w:r w:rsidRPr="00396984">
            <w:rPr>
              <w:noProof/>
              <w:sz w:val="20"/>
              <w:szCs w:val="20"/>
            </w:rPr>
            <w:t xml:space="preserve">, NESA website, </w:t>
          </w:r>
          <w:r w:rsidR="009B72F1" w:rsidRPr="00396984">
            <w:rPr>
              <w:noProof/>
              <w:sz w:val="20"/>
              <w:szCs w:val="20"/>
            </w:rPr>
            <w:t xml:space="preserve">accessed </w:t>
          </w:r>
          <w:r w:rsidR="009B72F1">
            <w:rPr>
              <w:noProof/>
              <w:sz w:val="20"/>
              <w:szCs w:val="20"/>
            </w:rPr>
            <w:t>16 June 2020</w:t>
          </w:r>
          <w:r w:rsidR="009B72F1" w:rsidRPr="009B72F1">
            <w:rPr>
              <w:noProof/>
            </w:rPr>
            <w:t>.</w:t>
          </w:r>
          <w:r w:rsidRPr="00396984">
            <w:rPr>
              <w:noProof/>
              <w:sz w:val="20"/>
              <w:szCs w:val="20"/>
            </w:rPr>
            <w:t xml:space="preserve"> </w:t>
          </w:r>
          <w:r w:rsidRPr="008936E9">
            <w:rPr>
              <w:rStyle w:val="Hyperlink"/>
              <w:szCs w:val="20"/>
            </w:rPr>
            <w:t>https://educationstandards.nsw.edu.au/wps/portal/nesa/k-10/understanding-the-curriculum/curriculum-development/syllabus-development-process/equity-principles</w:t>
          </w:r>
        </w:p>
        <w:p w14:paraId="4BE41BA5" w14:textId="040E87A6" w:rsidR="00CF4CA3" w:rsidRP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NSW Ministry of Health (2012) </w:t>
          </w:r>
          <w:r w:rsidRPr="00CF4CA3">
            <w:rPr>
              <w:i/>
              <w:iCs/>
              <w:noProof/>
              <w:sz w:val="20"/>
              <w:szCs w:val="22"/>
            </w:rPr>
            <w:t>NSW Aboriginal Health Plan 2013–2023</w:t>
          </w:r>
          <w:r w:rsidRPr="00CF4CA3">
            <w:rPr>
              <w:noProof/>
              <w:sz w:val="20"/>
              <w:szCs w:val="22"/>
            </w:rPr>
            <w:t xml:space="preserve">, NSW Ministry of Health </w:t>
          </w:r>
          <w:r>
            <w:rPr>
              <w:noProof/>
              <w:sz w:val="20"/>
              <w:szCs w:val="22"/>
            </w:rPr>
            <w:t>website</w:t>
          </w:r>
          <w:r w:rsidR="00477749">
            <w:rPr>
              <w:noProof/>
              <w:sz w:val="20"/>
              <w:szCs w:val="22"/>
            </w:rPr>
            <w:t>,</w:t>
          </w:r>
          <w:r w:rsidR="003931E2">
            <w:rPr>
              <w:noProof/>
              <w:sz w:val="20"/>
              <w:szCs w:val="22"/>
            </w:rPr>
            <w:t xml:space="preserve"> </w:t>
          </w:r>
          <w:r w:rsidR="009B72F1" w:rsidRPr="00396984">
            <w:rPr>
              <w:noProof/>
              <w:sz w:val="20"/>
              <w:szCs w:val="20"/>
            </w:rPr>
            <w:t xml:space="preserve">accessed </w:t>
          </w:r>
          <w:r w:rsidR="009B72F1">
            <w:rPr>
              <w:noProof/>
              <w:sz w:val="20"/>
              <w:szCs w:val="20"/>
            </w:rPr>
            <w:t>16 June 2020</w:t>
          </w:r>
          <w:r w:rsidR="009B72F1" w:rsidRPr="009B72F1">
            <w:rPr>
              <w:noProof/>
            </w:rPr>
            <w:t>.</w:t>
          </w:r>
          <w:r w:rsidRPr="00CF4CA3">
            <w:rPr>
              <w:noProof/>
              <w:sz w:val="20"/>
              <w:szCs w:val="22"/>
            </w:rPr>
            <w:t xml:space="preserve"> </w:t>
          </w:r>
          <w:hyperlink r:id="rId14" w:history="1">
            <w:r w:rsidR="00D63CB5" w:rsidRPr="000C313C">
              <w:rPr>
                <w:rStyle w:val="Hyperlink"/>
                <w:noProof/>
                <w:szCs w:val="22"/>
              </w:rPr>
              <w:t>https://www.health.nsw.gov.au/aboriginal/Pages/aboriginal-health-plan-2013-2023.aspx</w:t>
            </w:r>
          </w:hyperlink>
        </w:p>
        <w:p w14:paraId="09055DD7" w14:textId="2A38D7D2" w:rsidR="00CF4CA3" w:rsidRP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NSW Ministry of Health (2014) </w:t>
          </w:r>
          <w:r w:rsidRPr="00CF4CA3">
            <w:rPr>
              <w:i/>
              <w:iCs/>
              <w:noProof/>
              <w:sz w:val="20"/>
              <w:szCs w:val="22"/>
            </w:rPr>
            <w:t>NSW Rural Health Plan – Towards 2021</w:t>
          </w:r>
          <w:r w:rsidRPr="00CF4CA3">
            <w:rPr>
              <w:noProof/>
              <w:sz w:val="20"/>
              <w:szCs w:val="22"/>
            </w:rPr>
            <w:t xml:space="preserve">, NSW Ministry of Health </w:t>
          </w:r>
          <w:r>
            <w:rPr>
              <w:noProof/>
              <w:sz w:val="20"/>
              <w:szCs w:val="22"/>
            </w:rPr>
            <w:t>website</w:t>
          </w:r>
          <w:r w:rsidR="00477749">
            <w:rPr>
              <w:noProof/>
              <w:sz w:val="20"/>
              <w:szCs w:val="22"/>
            </w:rPr>
            <w:t>,</w:t>
          </w:r>
          <w:r w:rsidR="003931E2" w:rsidRPr="003931E2">
            <w:rPr>
              <w:noProof/>
            </w:rPr>
            <w:t xml:space="preserve"> </w:t>
          </w:r>
          <w:r w:rsidR="009B72F1" w:rsidRPr="00396984">
            <w:rPr>
              <w:noProof/>
              <w:sz w:val="20"/>
              <w:szCs w:val="20"/>
            </w:rPr>
            <w:t xml:space="preserve">accessed </w:t>
          </w:r>
          <w:r w:rsidR="009B72F1">
            <w:rPr>
              <w:noProof/>
              <w:sz w:val="20"/>
              <w:szCs w:val="20"/>
            </w:rPr>
            <w:t>16 June 2020</w:t>
          </w:r>
          <w:r w:rsidR="009B72F1" w:rsidRPr="009B72F1">
            <w:rPr>
              <w:noProof/>
            </w:rPr>
            <w:t>.</w:t>
          </w:r>
          <w:r w:rsidRPr="00CF4CA3">
            <w:rPr>
              <w:noProof/>
              <w:sz w:val="20"/>
              <w:szCs w:val="22"/>
            </w:rPr>
            <w:t xml:space="preserve"> </w:t>
          </w:r>
          <w:hyperlink r:id="rId15" w:history="1">
            <w:r w:rsidR="00D63CB5" w:rsidRPr="000C313C">
              <w:rPr>
                <w:rStyle w:val="Hyperlink"/>
                <w:noProof/>
                <w:szCs w:val="22"/>
              </w:rPr>
              <w:t>https://www.health.nsw.gov.au/regional/Pages/rural-health-plan.aspx</w:t>
            </w:r>
          </w:hyperlink>
        </w:p>
        <w:p w14:paraId="2DEDACDD" w14:textId="601D252B" w:rsidR="00CF4CA3" w:rsidRP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NSW Ministry of Health (2014) </w:t>
          </w:r>
          <w:r w:rsidRPr="00CF4CA3">
            <w:rPr>
              <w:i/>
              <w:iCs/>
              <w:noProof/>
              <w:sz w:val="20"/>
              <w:szCs w:val="22"/>
            </w:rPr>
            <w:t>NSW State Health Plan – Towards 2021</w:t>
          </w:r>
          <w:r w:rsidRPr="00CF4CA3">
            <w:rPr>
              <w:noProof/>
              <w:sz w:val="20"/>
              <w:szCs w:val="22"/>
            </w:rPr>
            <w:t xml:space="preserve">, NSW Ministry of Health </w:t>
          </w:r>
          <w:r>
            <w:rPr>
              <w:noProof/>
              <w:sz w:val="20"/>
              <w:szCs w:val="22"/>
            </w:rPr>
            <w:t>website</w:t>
          </w:r>
          <w:r w:rsidR="00477749">
            <w:rPr>
              <w:noProof/>
              <w:sz w:val="20"/>
              <w:szCs w:val="22"/>
            </w:rPr>
            <w:t>,</w:t>
          </w:r>
          <w:r w:rsidR="009B72F1" w:rsidRPr="009B72F1">
            <w:rPr>
              <w:noProof/>
              <w:sz w:val="20"/>
              <w:szCs w:val="20"/>
            </w:rPr>
            <w:t xml:space="preserve"> </w:t>
          </w:r>
          <w:r w:rsidR="009B72F1" w:rsidRPr="00396984">
            <w:rPr>
              <w:noProof/>
              <w:sz w:val="20"/>
              <w:szCs w:val="20"/>
            </w:rPr>
            <w:t xml:space="preserve">accessed </w:t>
          </w:r>
          <w:r w:rsidR="009B72F1">
            <w:rPr>
              <w:noProof/>
              <w:sz w:val="20"/>
              <w:szCs w:val="20"/>
            </w:rPr>
            <w:t>16 June 2020</w:t>
          </w:r>
          <w:r w:rsidR="009B72F1" w:rsidRPr="009B72F1">
            <w:rPr>
              <w:noProof/>
            </w:rPr>
            <w:t>.</w:t>
          </w:r>
          <w:r w:rsidRPr="00CF4CA3">
            <w:rPr>
              <w:noProof/>
              <w:sz w:val="20"/>
              <w:szCs w:val="22"/>
            </w:rPr>
            <w:t xml:space="preserve"> </w:t>
          </w:r>
          <w:hyperlink r:id="rId16" w:history="1">
            <w:r w:rsidR="00D63CB5" w:rsidRPr="000C313C">
              <w:rPr>
                <w:rStyle w:val="Hyperlink"/>
                <w:noProof/>
                <w:szCs w:val="22"/>
              </w:rPr>
              <w:t>https://www.health.nsw.gov.au/statehealthplan/Pages/NSW-state-health-plan-towards-2021.aspx</w:t>
            </w:r>
          </w:hyperlink>
        </w:p>
        <w:p w14:paraId="120D7720" w14:textId="606C4FA8" w:rsidR="00CF4CA3" w:rsidRP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NSW Ministry of Health (2016) </w:t>
          </w:r>
          <w:r w:rsidRPr="00CF4CA3">
            <w:rPr>
              <w:i/>
              <w:iCs/>
              <w:noProof/>
              <w:sz w:val="20"/>
              <w:szCs w:val="22"/>
            </w:rPr>
            <w:t>eHealth Strategy for NSW Health 2016–2026</w:t>
          </w:r>
          <w:r w:rsidRPr="00CF4CA3">
            <w:rPr>
              <w:noProof/>
              <w:sz w:val="20"/>
              <w:szCs w:val="22"/>
            </w:rPr>
            <w:t xml:space="preserve">, NSW Ministry of Health </w:t>
          </w:r>
          <w:r>
            <w:rPr>
              <w:noProof/>
              <w:sz w:val="20"/>
              <w:szCs w:val="22"/>
            </w:rPr>
            <w:t>website</w:t>
          </w:r>
          <w:r w:rsidR="00477749">
            <w:rPr>
              <w:noProof/>
              <w:sz w:val="20"/>
              <w:szCs w:val="22"/>
            </w:rPr>
            <w:t>,</w:t>
          </w:r>
          <w:r w:rsidR="003931E2">
            <w:rPr>
              <w:noProof/>
              <w:sz w:val="20"/>
              <w:szCs w:val="22"/>
            </w:rPr>
            <w:t xml:space="preserve"> </w:t>
          </w:r>
          <w:r w:rsidR="009B72F1" w:rsidRPr="00396984">
            <w:rPr>
              <w:noProof/>
              <w:sz w:val="20"/>
              <w:szCs w:val="20"/>
            </w:rPr>
            <w:t xml:space="preserve">accessed </w:t>
          </w:r>
          <w:r w:rsidR="009B72F1">
            <w:rPr>
              <w:noProof/>
              <w:sz w:val="20"/>
              <w:szCs w:val="20"/>
            </w:rPr>
            <w:t>16 June 2020</w:t>
          </w:r>
          <w:r w:rsidR="009B72F1" w:rsidRPr="009B72F1">
            <w:rPr>
              <w:noProof/>
            </w:rPr>
            <w:t>.</w:t>
          </w:r>
          <w:r w:rsidRPr="00CF4CA3">
            <w:rPr>
              <w:noProof/>
              <w:sz w:val="20"/>
              <w:szCs w:val="22"/>
            </w:rPr>
            <w:t xml:space="preserve"> </w:t>
          </w:r>
          <w:hyperlink r:id="rId17" w:history="1">
            <w:r w:rsidR="00D63CB5" w:rsidRPr="000C313C">
              <w:rPr>
                <w:rStyle w:val="Hyperlink"/>
                <w:noProof/>
                <w:szCs w:val="22"/>
              </w:rPr>
              <w:t>https://www.ehealth.nsw.gov.au/about/our-strategy</w:t>
            </w:r>
          </w:hyperlink>
        </w:p>
        <w:p w14:paraId="299FBC20" w14:textId="66C5CF8F" w:rsidR="00CF4CA3" w:rsidRP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NSW Ministry of Health (2017) </w:t>
          </w:r>
          <w:r w:rsidRPr="00CF4CA3">
            <w:rPr>
              <w:i/>
              <w:iCs/>
              <w:noProof/>
              <w:sz w:val="20"/>
              <w:szCs w:val="22"/>
            </w:rPr>
            <w:t>NSW Aboriginal Health Impact Statement</w:t>
          </w:r>
          <w:r w:rsidRPr="00CF4CA3">
            <w:rPr>
              <w:noProof/>
              <w:sz w:val="20"/>
              <w:szCs w:val="22"/>
            </w:rPr>
            <w:t xml:space="preserve">, NSW Ministry of Health </w:t>
          </w:r>
          <w:r w:rsidRPr="009B72F1">
            <w:rPr>
              <w:noProof/>
              <w:sz w:val="20"/>
              <w:szCs w:val="22"/>
            </w:rPr>
            <w:t>website</w:t>
          </w:r>
          <w:r w:rsidR="00477749" w:rsidRPr="009B72F1">
            <w:rPr>
              <w:noProof/>
              <w:sz w:val="20"/>
              <w:szCs w:val="22"/>
            </w:rPr>
            <w:t>,</w:t>
          </w:r>
          <w:r w:rsidR="003931E2" w:rsidRPr="009B72F1">
            <w:rPr>
              <w:noProof/>
              <w:sz w:val="20"/>
              <w:szCs w:val="22"/>
            </w:rPr>
            <w:t xml:space="preserve"> </w:t>
          </w:r>
          <w:r w:rsidR="009B72F1" w:rsidRPr="009B72F1">
            <w:rPr>
              <w:noProof/>
              <w:sz w:val="20"/>
              <w:szCs w:val="20"/>
            </w:rPr>
            <w:t>a</w:t>
          </w:r>
          <w:r w:rsidR="009B72F1" w:rsidRPr="00396984">
            <w:rPr>
              <w:noProof/>
              <w:sz w:val="20"/>
              <w:szCs w:val="20"/>
            </w:rPr>
            <w:t xml:space="preserve">ccessed </w:t>
          </w:r>
          <w:r w:rsidR="009B72F1">
            <w:rPr>
              <w:noProof/>
              <w:sz w:val="20"/>
              <w:szCs w:val="20"/>
            </w:rPr>
            <w:t>16 June 2020</w:t>
          </w:r>
          <w:r w:rsidR="009B72F1" w:rsidRPr="009B72F1">
            <w:rPr>
              <w:noProof/>
            </w:rPr>
            <w:t>.</w:t>
          </w:r>
          <w:r w:rsidR="009B72F1">
            <w:rPr>
              <w:noProof/>
            </w:rPr>
            <w:t xml:space="preserve"> </w:t>
          </w:r>
          <w:hyperlink r:id="rId18" w:history="1">
            <w:r w:rsidR="00D63CB5" w:rsidRPr="000C313C">
              <w:rPr>
                <w:rStyle w:val="Hyperlink"/>
                <w:noProof/>
                <w:szCs w:val="22"/>
              </w:rPr>
              <w:t>https://www1.health.nsw.gov.au/pds/Pages/doc.aspx?dn=PD2017_034</w:t>
            </w:r>
          </w:hyperlink>
        </w:p>
        <w:p w14:paraId="7000E59F" w14:textId="77777777" w:rsidR="00CF4CA3" w:rsidRP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Orji R and Moffatt K (2018) 'Persuasive technology for health and wellness: state-of-the-art and emerging trends', </w:t>
          </w:r>
          <w:r w:rsidRPr="00CF4CA3">
            <w:rPr>
              <w:i/>
              <w:iCs/>
              <w:noProof/>
              <w:sz w:val="20"/>
              <w:szCs w:val="22"/>
            </w:rPr>
            <w:t>Health Informative Journal</w:t>
          </w:r>
          <w:r w:rsidRPr="00CF4CA3">
            <w:rPr>
              <w:noProof/>
              <w:sz w:val="20"/>
              <w:szCs w:val="22"/>
            </w:rPr>
            <w:t>, 24(1):66–91, doi:10.1177/1460458216650979.</w:t>
          </w:r>
        </w:p>
        <w:p w14:paraId="642AA395" w14:textId="40BB33E2" w:rsidR="00CF4CA3" w:rsidRDefault="00CF4CA3" w:rsidP="00CF4CA3">
          <w:pPr>
            <w:pStyle w:val="Bibliography"/>
            <w:rPr>
              <w:rStyle w:val="Hyperlink"/>
              <w:noProof/>
              <w:szCs w:val="22"/>
            </w:rPr>
          </w:pPr>
          <w:r>
            <w:rPr>
              <w:noProof/>
              <w:sz w:val="20"/>
              <w:szCs w:val="22"/>
            </w:rPr>
            <w:t>UNDESA (</w:t>
          </w:r>
          <w:r w:rsidRPr="00CF4CA3">
            <w:rPr>
              <w:noProof/>
              <w:sz w:val="20"/>
              <w:szCs w:val="22"/>
            </w:rPr>
            <w:t>United Nations Department of Economic and Social Affairs</w:t>
          </w:r>
          <w:r>
            <w:rPr>
              <w:noProof/>
              <w:sz w:val="20"/>
              <w:szCs w:val="22"/>
            </w:rPr>
            <w:t>)</w:t>
          </w:r>
          <w:r w:rsidRPr="00CF4CA3">
            <w:rPr>
              <w:noProof/>
              <w:sz w:val="20"/>
              <w:szCs w:val="22"/>
            </w:rPr>
            <w:t xml:space="preserve"> (2009) </w:t>
          </w:r>
          <w:r w:rsidRPr="00CF4CA3">
            <w:rPr>
              <w:i/>
              <w:iCs/>
              <w:noProof/>
              <w:sz w:val="20"/>
              <w:szCs w:val="22"/>
            </w:rPr>
            <w:t>State of the world’s Indigenous Peoples</w:t>
          </w:r>
          <w:r w:rsidRPr="00CF4CA3">
            <w:rPr>
              <w:noProof/>
              <w:sz w:val="20"/>
              <w:szCs w:val="22"/>
            </w:rPr>
            <w:t xml:space="preserve">, United Nations </w:t>
          </w:r>
          <w:r>
            <w:rPr>
              <w:noProof/>
              <w:sz w:val="20"/>
              <w:szCs w:val="22"/>
            </w:rPr>
            <w:t>website</w:t>
          </w:r>
          <w:r w:rsidR="009B72F1">
            <w:rPr>
              <w:noProof/>
              <w:sz w:val="20"/>
              <w:szCs w:val="22"/>
            </w:rPr>
            <w:t>,</w:t>
          </w:r>
          <w:r w:rsidR="009B72F1" w:rsidRPr="009B72F1">
            <w:rPr>
              <w:noProof/>
              <w:sz w:val="20"/>
              <w:szCs w:val="20"/>
            </w:rPr>
            <w:t xml:space="preserve"> </w:t>
          </w:r>
          <w:r w:rsidR="009B72F1" w:rsidRPr="00396984">
            <w:rPr>
              <w:noProof/>
              <w:sz w:val="20"/>
              <w:szCs w:val="20"/>
            </w:rPr>
            <w:t xml:space="preserve">accessed </w:t>
          </w:r>
          <w:r w:rsidR="009B72F1">
            <w:rPr>
              <w:noProof/>
              <w:sz w:val="20"/>
              <w:szCs w:val="20"/>
            </w:rPr>
            <w:t>16 June 2020</w:t>
          </w:r>
          <w:r w:rsidR="009B72F1" w:rsidRPr="009B72F1">
            <w:rPr>
              <w:noProof/>
            </w:rPr>
            <w:t>.</w:t>
          </w:r>
          <w:r w:rsidR="003931E2" w:rsidRPr="00CF4CA3">
            <w:rPr>
              <w:noProof/>
              <w:sz w:val="20"/>
              <w:szCs w:val="22"/>
            </w:rPr>
            <w:t xml:space="preserve"> </w:t>
          </w:r>
          <w:hyperlink r:id="rId19" w:history="1">
            <w:r w:rsidRPr="000C313C">
              <w:rPr>
                <w:rStyle w:val="Hyperlink"/>
                <w:noProof/>
                <w:szCs w:val="22"/>
              </w:rPr>
              <w:t>https://www.un.org/development/desa/indigenouspeoples/publications/state-of-the-worlds-indigenous-peoples.html</w:t>
            </w:r>
          </w:hyperlink>
        </w:p>
        <w:p w14:paraId="68C24E00" w14:textId="0484261A" w:rsidR="000B4A95" w:rsidRPr="000B4A95" w:rsidRDefault="000B4A95" w:rsidP="000B4A95">
          <w:r w:rsidRPr="000B4A95">
            <w:t xml:space="preserve">UNDESA (United Nations Department of Economic and Social Affairs) (2015) </w:t>
          </w:r>
          <w:r w:rsidRPr="000B4A95">
            <w:rPr>
              <w:i/>
              <w:iCs/>
            </w:rPr>
            <w:t>Transforming our world: the 2023 Agenda for Sustainable Development, </w:t>
          </w:r>
          <w:r w:rsidRPr="000B4A95">
            <w:t xml:space="preserve">United Nations website, accessed 16 June 2020 </w:t>
          </w:r>
          <w:hyperlink r:id="rId20" w:tgtFrame="_blank" w:tooltip="https://sdgs.un.org/2030agenda" w:history="1">
            <w:r w:rsidRPr="00B232C0">
              <w:rPr>
                <w:rStyle w:val="Hyperlink"/>
                <w:noProof/>
              </w:rPr>
              <w:t>https://sdgs.un.org/2030agenda</w:t>
            </w:r>
          </w:hyperlink>
        </w:p>
        <w:p w14:paraId="52D26AF6" w14:textId="77777777" w:rsidR="00CF4CA3" w:rsidRP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Weiss D and Eikemo TA (2017) 'Technological innovations and the rise of social inequities in health', </w:t>
          </w:r>
          <w:r w:rsidRPr="00CF4CA3">
            <w:rPr>
              <w:i/>
              <w:iCs/>
              <w:noProof/>
              <w:sz w:val="20"/>
              <w:szCs w:val="22"/>
            </w:rPr>
            <w:t>Scandinavian Journal of Public Health</w:t>
          </w:r>
          <w:r w:rsidRPr="00CF4CA3">
            <w:rPr>
              <w:noProof/>
              <w:sz w:val="20"/>
              <w:szCs w:val="22"/>
            </w:rPr>
            <w:t>, 45(7):714–719, doi:10.1177/1403494817711371.</w:t>
          </w:r>
        </w:p>
        <w:p w14:paraId="6D5E456B" w14:textId="3D7BE606" w:rsidR="00CF4CA3" w:rsidRP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Williamson RC, Raghnaill MN, Douglas K and Sanchez D (2015) </w:t>
          </w:r>
          <w:r w:rsidRPr="00675EBC">
            <w:rPr>
              <w:i/>
              <w:iCs/>
              <w:noProof/>
              <w:sz w:val="20"/>
              <w:szCs w:val="22"/>
            </w:rPr>
            <w:t>Technology and Australia’s future: new technologies and their role in Australia’s security, cultural, democratic, social and economic systems</w:t>
          </w:r>
          <w:r w:rsidRPr="00CF4CA3">
            <w:rPr>
              <w:noProof/>
              <w:sz w:val="20"/>
              <w:szCs w:val="22"/>
            </w:rPr>
            <w:t xml:space="preserve">, Australian Council of Learned Academies </w:t>
          </w:r>
          <w:r>
            <w:rPr>
              <w:noProof/>
              <w:sz w:val="20"/>
              <w:szCs w:val="22"/>
            </w:rPr>
            <w:t>website</w:t>
          </w:r>
          <w:r w:rsidR="00477749">
            <w:rPr>
              <w:noProof/>
              <w:sz w:val="20"/>
              <w:szCs w:val="22"/>
            </w:rPr>
            <w:t>,</w:t>
          </w:r>
          <w:r w:rsidR="003931E2">
            <w:rPr>
              <w:noProof/>
              <w:sz w:val="20"/>
              <w:szCs w:val="22"/>
            </w:rPr>
            <w:t xml:space="preserve"> </w:t>
          </w:r>
          <w:r w:rsidR="009B72F1" w:rsidRPr="00396984">
            <w:rPr>
              <w:noProof/>
              <w:sz w:val="20"/>
              <w:szCs w:val="20"/>
            </w:rPr>
            <w:t xml:space="preserve">accessed </w:t>
          </w:r>
          <w:r w:rsidR="009B72F1">
            <w:rPr>
              <w:noProof/>
              <w:sz w:val="20"/>
              <w:szCs w:val="20"/>
            </w:rPr>
            <w:t>16 June 2020</w:t>
          </w:r>
          <w:r w:rsidR="009B72F1" w:rsidRPr="009B72F1">
            <w:rPr>
              <w:noProof/>
            </w:rPr>
            <w:t>.</w:t>
          </w:r>
          <w:r w:rsidRPr="00CF4CA3">
            <w:rPr>
              <w:noProof/>
              <w:sz w:val="20"/>
              <w:szCs w:val="22"/>
            </w:rPr>
            <w:t xml:space="preserve"> </w:t>
          </w:r>
          <w:hyperlink r:id="rId21" w:history="1">
            <w:r w:rsidR="00D63CB5" w:rsidRPr="000C313C">
              <w:rPr>
                <w:rStyle w:val="Hyperlink"/>
                <w:noProof/>
                <w:szCs w:val="22"/>
              </w:rPr>
              <w:t>https://acola.org/new-technology-security-saf05/</w:t>
            </w:r>
          </w:hyperlink>
        </w:p>
        <w:p w14:paraId="549A02D8" w14:textId="7CED891C" w:rsidR="00CF4CA3" w:rsidRPr="00CF4CA3" w:rsidRDefault="00CF4CA3" w:rsidP="00CF4CA3">
          <w:pPr>
            <w:pStyle w:val="Bibliography"/>
            <w:rPr>
              <w:noProof/>
              <w:sz w:val="20"/>
              <w:szCs w:val="22"/>
            </w:rPr>
          </w:pPr>
          <w:r w:rsidRPr="00CF4CA3">
            <w:rPr>
              <w:noProof/>
              <w:sz w:val="20"/>
              <w:szCs w:val="22"/>
            </w:rPr>
            <w:t xml:space="preserve">World Health Organization (2013) </w:t>
          </w:r>
          <w:r w:rsidRPr="00D63CB5">
            <w:rPr>
              <w:i/>
              <w:iCs/>
              <w:noProof/>
              <w:sz w:val="20"/>
              <w:szCs w:val="22"/>
            </w:rPr>
            <w:t>Global action plan for the prevention and control of NCDs 2013–2020</w:t>
          </w:r>
          <w:r w:rsidR="00D63CB5">
            <w:rPr>
              <w:noProof/>
              <w:sz w:val="20"/>
              <w:szCs w:val="22"/>
            </w:rPr>
            <w:t xml:space="preserve">, </w:t>
          </w:r>
          <w:r w:rsidR="00D63CB5" w:rsidRPr="00CF4CA3">
            <w:rPr>
              <w:noProof/>
              <w:sz w:val="20"/>
              <w:szCs w:val="22"/>
            </w:rPr>
            <w:t>World Health Organization</w:t>
          </w:r>
          <w:r w:rsidR="00D63CB5">
            <w:rPr>
              <w:noProof/>
              <w:sz w:val="20"/>
              <w:szCs w:val="22"/>
            </w:rPr>
            <w:t xml:space="preserve"> website</w:t>
          </w:r>
          <w:r w:rsidR="00477749">
            <w:rPr>
              <w:noProof/>
              <w:sz w:val="20"/>
              <w:szCs w:val="22"/>
            </w:rPr>
            <w:t>,</w:t>
          </w:r>
          <w:r w:rsidR="003931E2">
            <w:rPr>
              <w:noProof/>
              <w:sz w:val="20"/>
              <w:szCs w:val="22"/>
            </w:rPr>
            <w:t xml:space="preserve"> </w:t>
          </w:r>
          <w:r w:rsidR="009B72F1" w:rsidRPr="00396984">
            <w:rPr>
              <w:noProof/>
              <w:sz w:val="20"/>
              <w:szCs w:val="20"/>
            </w:rPr>
            <w:t xml:space="preserve">accessed </w:t>
          </w:r>
          <w:r w:rsidR="009B72F1">
            <w:rPr>
              <w:noProof/>
              <w:sz w:val="20"/>
              <w:szCs w:val="20"/>
            </w:rPr>
            <w:t>16 June 2020</w:t>
          </w:r>
          <w:r w:rsidR="009B72F1" w:rsidRPr="009B72F1">
            <w:rPr>
              <w:noProof/>
            </w:rPr>
            <w:t>.</w:t>
          </w:r>
          <w:r w:rsidRPr="00CF4CA3">
            <w:rPr>
              <w:noProof/>
              <w:sz w:val="20"/>
              <w:szCs w:val="22"/>
            </w:rPr>
            <w:t xml:space="preserve"> </w:t>
          </w:r>
          <w:hyperlink r:id="rId22" w:history="1">
            <w:r w:rsidR="00D63CB5" w:rsidRPr="000C313C">
              <w:rPr>
                <w:rStyle w:val="Hyperlink"/>
                <w:noProof/>
                <w:szCs w:val="22"/>
              </w:rPr>
              <w:t>https://www.who.int/publications/i/item/9789241506236</w:t>
            </w:r>
          </w:hyperlink>
        </w:p>
        <w:p w14:paraId="2CE7072E" w14:textId="448437A1" w:rsidR="00BD7E1E" w:rsidRDefault="000C71E4" w:rsidP="00CF4CA3"/>
      </w:sdtContent>
    </w:sdt>
    <w:bookmarkEnd w:id="1"/>
    <w:bookmarkEnd w:id="0"/>
    <w:p w14:paraId="5C00287C" w14:textId="77777777" w:rsidR="0008183E" w:rsidRDefault="0008183E"/>
    <w:sectPr w:rsidR="0008183E" w:rsidSect="00201BB4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56652" w14:textId="77777777" w:rsidR="001600AF" w:rsidRDefault="001600AF">
      <w:pPr>
        <w:spacing w:after="0" w:line="240" w:lineRule="auto"/>
      </w:pPr>
      <w:r>
        <w:separator/>
      </w:r>
    </w:p>
  </w:endnote>
  <w:endnote w:type="continuationSeparator" w:id="0">
    <w:p w14:paraId="5A5E8C5A" w14:textId="77777777" w:rsidR="001600AF" w:rsidRDefault="00160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E42723" w14:textId="77777777" w:rsidR="000C71E4" w:rsidRDefault="000C71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BF1FB" w14:textId="77777777" w:rsidR="00E77548" w:rsidRPr="00201BB4" w:rsidRDefault="00E77548" w:rsidP="00E77548">
    <w:pPr>
      <w:pStyle w:val="Footer"/>
      <w:pBdr>
        <w:bottom w:val="single" w:sz="4" w:space="1" w:color="auto"/>
      </w:pBdr>
      <w:spacing w:line="240" w:lineRule="auto"/>
    </w:pPr>
  </w:p>
  <w:p w14:paraId="24DC8368" w14:textId="23B96262" w:rsidR="000C71E4" w:rsidRDefault="00510C0F" w:rsidP="00510C0F">
    <w:pPr>
      <w:tabs>
        <w:tab w:val="right" w:pos="14459"/>
      </w:tabs>
      <w:spacing w:after="0" w:line="240" w:lineRule="auto"/>
      <w:rPr>
        <w:color w:val="002664"/>
        <w:sz w:val="18"/>
        <w:szCs w:val="18"/>
      </w:rPr>
    </w:pPr>
    <w:r w:rsidRPr="00201BB4">
      <w:rPr>
        <w:color w:val="002664"/>
        <w:sz w:val="18"/>
        <w:szCs w:val="18"/>
      </w:rPr>
      <w:t xml:space="preserve">Health and Movement Science 11–12 and Health and Movement </w:t>
    </w:r>
    <w:r w:rsidR="000C71E4" w:rsidRPr="00201BB4">
      <w:rPr>
        <w:color w:val="002664"/>
        <w:sz w:val="18"/>
        <w:szCs w:val="18"/>
      </w:rPr>
      <w:t xml:space="preserve">Science </w:t>
    </w:r>
    <w:r w:rsidR="000C71E4">
      <w:rPr>
        <w:color w:val="002664"/>
        <w:sz w:val="18"/>
        <w:szCs w:val="18"/>
      </w:rPr>
      <w:t>Life Skills</w:t>
    </w:r>
    <w:r w:rsidR="000C71E4" w:rsidRPr="00201BB4">
      <w:rPr>
        <w:color w:val="002664"/>
        <w:sz w:val="18"/>
        <w:szCs w:val="18"/>
      </w:rPr>
      <w:t xml:space="preserve"> 11–12</w:t>
    </w:r>
    <w:r w:rsidR="000C71E4">
      <w:rPr>
        <w:color w:val="002664"/>
        <w:sz w:val="18"/>
        <w:szCs w:val="18"/>
      </w:rPr>
      <w:t xml:space="preserve"> (2023)</w:t>
    </w:r>
    <w:r w:rsidR="000C71E4" w:rsidRPr="00201BB4">
      <w:rPr>
        <w:color w:val="002664"/>
        <w:sz w:val="18"/>
        <w:szCs w:val="18"/>
      </w:rPr>
      <w:t>: Bibliography</w:t>
    </w:r>
  </w:p>
  <w:p w14:paraId="19FFFC68" w14:textId="77777777" w:rsidR="000C71E4" w:rsidRPr="000C71E4" w:rsidRDefault="000C71E4" w:rsidP="00510C0F">
    <w:pPr>
      <w:tabs>
        <w:tab w:val="right" w:pos="14459"/>
      </w:tabs>
      <w:spacing w:after="0" w:line="240" w:lineRule="auto"/>
      <w:rPr>
        <w:color w:val="002664"/>
        <w:sz w:val="8"/>
        <w:szCs w:val="8"/>
      </w:rPr>
    </w:pPr>
  </w:p>
  <w:p w14:paraId="13E99090" w14:textId="0C82DB1B" w:rsidR="00510C0F" w:rsidRDefault="00510C0F" w:rsidP="000C71E4">
    <w:pPr>
      <w:tabs>
        <w:tab w:val="right" w:pos="14459"/>
      </w:tabs>
      <w:spacing w:after="0" w:line="240" w:lineRule="auto"/>
      <w:jc w:val="right"/>
      <w:rPr>
        <w:color w:val="002664"/>
        <w:sz w:val="18"/>
        <w:szCs w:val="18"/>
      </w:rPr>
    </w:pPr>
    <w:r w:rsidRPr="00201BB4">
      <w:rPr>
        <w:color w:val="002664"/>
        <w:sz w:val="18"/>
        <w:szCs w:val="18"/>
      </w:rPr>
      <w:fldChar w:fldCharType="begin"/>
    </w:r>
    <w:r w:rsidRPr="00201BB4">
      <w:rPr>
        <w:color w:val="002664"/>
        <w:sz w:val="18"/>
        <w:szCs w:val="18"/>
      </w:rPr>
      <w:instrText xml:space="preserve"> TITLE  \* MERGEFORMAT </w:instrText>
    </w:r>
    <w:r w:rsidRPr="00201BB4">
      <w:rPr>
        <w:color w:val="002664"/>
        <w:sz w:val="18"/>
        <w:szCs w:val="18"/>
      </w:rPr>
      <w:fldChar w:fldCharType="end"/>
    </w:r>
    <w:r w:rsidRPr="00201BB4">
      <w:rPr>
        <w:color w:val="002664"/>
        <w:sz w:val="18"/>
        <w:szCs w:val="18"/>
      </w:rPr>
      <w:t xml:space="preserve">Page </w:t>
    </w:r>
    <w:r w:rsidRPr="008936E9">
      <w:rPr>
        <w:b/>
        <w:bCs/>
        <w:color w:val="002664"/>
        <w:sz w:val="18"/>
        <w:szCs w:val="18"/>
      </w:rPr>
      <w:fldChar w:fldCharType="begin"/>
    </w:r>
    <w:r w:rsidRPr="008936E9">
      <w:rPr>
        <w:b/>
        <w:bCs/>
        <w:color w:val="002664"/>
        <w:sz w:val="18"/>
        <w:szCs w:val="18"/>
      </w:rPr>
      <w:instrText>PAGE</w:instrText>
    </w:r>
    <w:r w:rsidRPr="008936E9">
      <w:rPr>
        <w:b/>
        <w:bCs/>
        <w:color w:val="002664"/>
        <w:sz w:val="18"/>
        <w:szCs w:val="18"/>
      </w:rPr>
      <w:fldChar w:fldCharType="separate"/>
    </w:r>
    <w:r>
      <w:rPr>
        <w:b/>
        <w:bCs/>
        <w:color w:val="002664"/>
        <w:sz w:val="18"/>
        <w:szCs w:val="18"/>
      </w:rPr>
      <w:t>1</w:t>
    </w:r>
    <w:r w:rsidRPr="008936E9">
      <w:rPr>
        <w:b/>
        <w:bCs/>
        <w:color w:val="002664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4372" w14:textId="77777777" w:rsidR="00201BB4" w:rsidRPr="00201BB4" w:rsidRDefault="00201BB4" w:rsidP="00201BB4">
    <w:pPr>
      <w:pStyle w:val="Footer"/>
      <w:pBdr>
        <w:bottom w:val="single" w:sz="4" w:space="1" w:color="auto"/>
      </w:pBdr>
      <w:spacing w:line="240" w:lineRule="auto"/>
    </w:pPr>
  </w:p>
  <w:p w14:paraId="4BFE08E1" w14:textId="3C152CFB" w:rsidR="008936E9" w:rsidRPr="008936E9" w:rsidRDefault="00201BB4" w:rsidP="00201BB4">
    <w:pPr>
      <w:tabs>
        <w:tab w:val="right" w:pos="14459"/>
      </w:tabs>
      <w:spacing w:after="0" w:line="240" w:lineRule="auto"/>
      <w:rPr>
        <w:color w:val="002664"/>
        <w:sz w:val="8"/>
        <w:szCs w:val="8"/>
      </w:rPr>
    </w:pPr>
    <w:bookmarkStart w:id="4" w:name="_Hlk150936384"/>
    <w:r w:rsidRPr="00201BB4">
      <w:rPr>
        <w:color w:val="002664"/>
        <w:sz w:val="18"/>
        <w:szCs w:val="18"/>
      </w:rPr>
      <w:t xml:space="preserve">Health and Movement Science 11–12 and </w:t>
    </w:r>
    <w:r w:rsidR="00510C0F" w:rsidRPr="00201BB4">
      <w:rPr>
        <w:color w:val="002664"/>
        <w:sz w:val="18"/>
        <w:szCs w:val="18"/>
      </w:rPr>
      <w:t xml:space="preserve">Health and Movement </w:t>
    </w:r>
    <w:r w:rsidR="000C71E4" w:rsidRPr="00201BB4">
      <w:rPr>
        <w:color w:val="002664"/>
        <w:sz w:val="18"/>
        <w:szCs w:val="18"/>
      </w:rPr>
      <w:t xml:space="preserve">Science </w:t>
    </w:r>
    <w:r w:rsidR="000C71E4">
      <w:rPr>
        <w:color w:val="002664"/>
        <w:sz w:val="18"/>
        <w:szCs w:val="18"/>
      </w:rPr>
      <w:t>Life Skills</w:t>
    </w:r>
    <w:r w:rsidR="000C71E4" w:rsidRPr="00201BB4">
      <w:rPr>
        <w:color w:val="002664"/>
        <w:sz w:val="18"/>
        <w:szCs w:val="18"/>
      </w:rPr>
      <w:t xml:space="preserve"> 11–12</w:t>
    </w:r>
    <w:r w:rsidR="000C71E4">
      <w:rPr>
        <w:color w:val="002664"/>
        <w:sz w:val="18"/>
        <w:szCs w:val="18"/>
      </w:rPr>
      <w:t xml:space="preserve"> (2023)</w:t>
    </w:r>
    <w:r w:rsidR="000C71E4" w:rsidRPr="00201BB4">
      <w:rPr>
        <w:color w:val="002664"/>
        <w:sz w:val="18"/>
        <w:szCs w:val="18"/>
      </w:rPr>
      <w:t>: Bibliography</w:t>
    </w:r>
    <w:r w:rsidR="000C71E4">
      <w:rPr>
        <w:color w:val="002664"/>
        <w:sz w:val="18"/>
        <w:szCs w:val="18"/>
      </w:rPr>
      <w:br/>
    </w:r>
    <w:r w:rsidR="00510C0F" w:rsidRPr="00201BB4">
      <w:rPr>
        <w:color w:val="002664"/>
        <w:sz w:val="18"/>
        <w:szCs w:val="18"/>
      </w:rPr>
      <w:fldChar w:fldCharType="begin"/>
    </w:r>
    <w:r w:rsidR="00510C0F" w:rsidRPr="00201BB4">
      <w:rPr>
        <w:color w:val="002664"/>
        <w:sz w:val="18"/>
        <w:szCs w:val="18"/>
      </w:rPr>
      <w:instrText xml:space="preserve"> TITLE  \* MERGEFORMAT </w:instrText>
    </w:r>
    <w:r w:rsidR="00510C0F" w:rsidRPr="00201BB4">
      <w:rPr>
        <w:color w:val="002664"/>
        <w:sz w:val="18"/>
        <w:szCs w:val="18"/>
      </w:rPr>
      <w:fldChar w:fldCharType="end"/>
    </w:r>
    <w:bookmarkEnd w:id="4"/>
  </w:p>
  <w:p w14:paraId="153D39EE" w14:textId="52F92BE1" w:rsidR="008936E9" w:rsidRPr="00201BB4" w:rsidRDefault="008936E9" w:rsidP="00201BB4">
    <w:pPr>
      <w:tabs>
        <w:tab w:val="right" w:pos="14459"/>
      </w:tabs>
      <w:spacing w:after="0" w:line="240" w:lineRule="auto"/>
      <w:rPr>
        <w:color w:val="002664"/>
        <w:sz w:val="18"/>
        <w:szCs w:val="18"/>
      </w:rPr>
    </w:pPr>
    <w:r w:rsidRPr="008936E9">
      <w:rPr>
        <w:color w:val="002664"/>
        <w:sz w:val="18"/>
        <w:szCs w:val="18"/>
      </w:rPr>
      <w:t>© 2023 NSW Education Standards Authority</w:t>
    </w:r>
    <w:r w:rsidR="000C71E4">
      <w:rPr>
        <w:color w:val="002664"/>
        <w:sz w:val="18"/>
        <w:szCs w:val="18"/>
      </w:rPr>
      <w:t xml:space="preserve"> </w:t>
    </w:r>
    <w:r w:rsidR="000C71E4">
      <w:rPr>
        <w:color w:val="002664"/>
        <w:sz w:val="18"/>
        <w:szCs w:val="18"/>
      </w:rPr>
      <w:tab/>
    </w:r>
    <w:r w:rsidR="000C71E4" w:rsidRPr="00201BB4">
      <w:rPr>
        <w:color w:val="002664"/>
        <w:sz w:val="18"/>
        <w:szCs w:val="18"/>
      </w:rPr>
      <w:t xml:space="preserve">Page </w:t>
    </w:r>
    <w:r w:rsidR="000C71E4" w:rsidRPr="008936E9">
      <w:rPr>
        <w:b/>
        <w:bCs/>
        <w:color w:val="002664"/>
        <w:sz w:val="18"/>
        <w:szCs w:val="18"/>
      </w:rPr>
      <w:fldChar w:fldCharType="begin"/>
    </w:r>
    <w:r w:rsidR="000C71E4" w:rsidRPr="008936E9">
      <w:rPr>
        <w:b/>
        <w:bCs/>
        <w:color w:val="002664"/>
        <w:sz w:val="18"/>
        <w:szCs w:val="18"/>
      </w:rPr>
      <w:instrText>PAGE</w:instrText>
    </w:r>
    <w:r w:rsidR="000C71E4" w:rsidRPr="008936E9">
      <w:rPr>
        <w:b/>
        <w:bCs/>
        <w:color w:val="002664"/>
        <w:sz w:val="18"/>
        <w:szCs w:val="18"/>
      </w:rPr>
      <w:fldChar w:fldCharType="separate"/>
    </w:r>
    <w:r w:rsidR="000C71E4">
      <w:rPr>
        <w:b/>
        <w:bCs/>
        <w:color w:val="002664"/>
        <w:sz w:val="18"/>
        <w:szCs w:val="18"/>
      </w:rPr>
      <w:t>1</w:t>
    </w:r>
    <w:r w:rsidR="000C71E4" w:rsidRPr="008936E9">
      <w:rPr>
        <w:b/>
        <w:bCs/>
        <w:color w:val="002664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DF44" w14:textId="77777777" w:rsidR="001600AF" w:rsidRDefault="001600AF">
      <w:pPr>
        <w:spacing w:after="0" w:line="240" w:lineRule="auto"/>
      </w:pPr>
      <w:r>
        <w:separator/>
      </w:r>
    </w:p>
  </w:footnote>
  <w:footnote w:type="continuationSeparator" w:id="0">
    <w:p w14:paraId="443C285C" w14:textId="77777777" w:rsidR="001600AF" w:rsidRDefault="00160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FBBCD9" w14:textId="77777777" w:rsidR="000C71E4" w:rsidRDefault="000C71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EF373" w14:textId="77777777" w:rsidR="000C71E4" w:rsidRDefault="000C71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6C206" w14:textId="77777777" w:rsidR="008936E9" w:rsidRPr="00C10856" w:rsidRDefault="008936E9" w:rsidP="008936E9">
    <w:pPr>
      <w:pStyle w:val="Organisationname"/>
      <w:rPr>
        <w:color w:val="002664"/>
      </w:rPr>
    </w:pPr>
    <w:bookmarkStart w:id="2" w:name="_Hlk117676205"/>
    <w:bookmarkStart w:id="3" w:name="_Hlk117676206"/>
    <w:r w:rsidRPr="00C10856">
      <w:rPr>
        <w:noProof/>
        <w:color w:val="002664"/>
        <w:sz w:val="40"/>
        <w:szCs w:val="40"/>
        <w:lang w:eastAsia="en-AU"/>
      </w:rPr>
      <w:drawing>
        <wp:anchor distT="0" distB="0" distL="114300" distR="114300" simplePos="0" relativeHeight="251659264" behindDoc="0" locked="0" layoutInCell="1" allowOverlap="1" wp14:anchorId="05C97B08" wp14:editId="1D8183B4">
          <wp:simplePos x="0" y="0"/>
          <wp:positionH relativeFrom="margin">
            <wp:align>right</wp:align>
          </wp:positionH>
          <wp:positionV relativeFrom="paragraph">
            <wp:posOffset>4445</wp:posOffset>
          </wp:positionV>
          <wp:extent cx="660400" cy="701675"/>
          <wp:effectExtent l="0" t="0" r="6350" b="3175"/>
          <wp:wrapSquare wrapText="bothSides"/>
          <wp:docPr id="13" name="Picture 13" descr="NSW Government logo" title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ratah NSWGovt Two ColourHiRes_sm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400" cy="70167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br/>
    </w:r>
    <w:r w:rsidRPr="00C10856">
      <w:rPr>
        <w:color w:val="002664"/>
      </w:rPr>
      <w:t xml:space="preserve">NSW Education Standards Authority </w:t>
    </w:r>
    <w:r w:rsidRPr="00C10856">
      <w:rPr>
        <w:color w:val="002664"/>
      </w:rPr>
      <w:tab/>
    </w:r>
  </w:p>
  <w:p w14:paraId="470E2C62" w14:textId="77777777" w:rsidR="008936E9" w:rsidRPr="000D39C4" w:rsidRDefault="008936E9" w:rsidP="008936E9">
    <w:pPr>
      <w:pBdr>
        <w:bottom w:val="single" w:sz="4" w:space="1" w:color="280070"/>
      </w:pBdr>
      <w:rPr>
        <w:sz w:val="16"/>
        <w:szCs w:val="16"/>
      </w:rPr>
    </w:pPr>
  </w:p>
  <w:bookmarkEnd w:id="2"/>
  <w:bookmarkEnd w:id="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4345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7CAA2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0F6EA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50F8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30C7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984F4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8424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F6ADD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97AF8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AA8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28D7"/>
    <w:multiLevelType w:val="multilevel"/>
    <w:tmpl w:val="0DB4EE24"/>
    <w:lvl w:ilvl="0">
      <w:start w:val="1"/>
      <w:numFmt w:val="bullet"/>
      <w:pStyle w:val="Secondbulletafterexample"/>
      <w:lvlText w:val="▪"/>
      <w:lvlJc w:val="left"/>
      <w:pPr>
        <w:ind w:left="1058" w:firstLine="360"/>
      </w:pPr>
      <w:rPr>
        <w:rFonts w:ascii="Noto Sans Symbols" w:eastAsia="Times New Roman" w:hAnsi="Noto Sans Symbols"/>
        <w:color w:val="280070"/>
        <w:u w:val="none"/>
      </w:rPr>
    </w:lvl>
    <w:lvl w:ilvl="1">
      <w:start w:val="1"/>
      <w:numFmt w:val="bullet"/>
      <w:lvlText w:val="–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37BF4A7F"/>
    <w:multiLevelType w:val="multilevel"/>
    <w:tmpl w:val="C0BC6790"/>
    <w:lvl w:ilvl="0">
      <w:start w:val="1"/>
      <w:numFmt w:val="decimal"/>
      <w:pStyle w:val="Numberedlist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002664"/>
        <w:sz w:val="20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/>
        <w:i w:val="0"/>
        <w:color w:val="280070"/>
        <w:sz w:val="22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ascii="Arial" w:hAnsi="Arial" w:hint="default"/>
        <w:b/>
        <w:i w:val="0"/>
        <w:color w:val="280070"/>
        <w:sz w:val="22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82"/>
        </w:tabs>
        <w:ind w:left="2382" w:hanging="39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79"/>
        </w:tabs>
        <w:ind w:left="2779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176"/>
        </w:tabs>
        <w:ind w:left="3176" w:hanging="39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3"/>
        </w:tabs>
        <w:ind w:left="3573" w:hanging="397"/>
      </w:pPr>
      <w:rPr>
        <w:rFonts w:hint="default"/>
      </w:rPr>
    </w:lvl>
  </w:abstractNum>
  <w:abstractNum w:abstractNumId="12" w15:restartNumberingAfterBreak="0">
    <w:nsid w:val="37F6163C"/>
    <w:multiLevelType w:val="multilevel"/>
    <w:tmpl w:val="1C820496"/>
    <w:lvl w:ilvl="0">
      <w:start w:val="1"/>
      <w:numFmt w:val="bullet"/>
      <w:pStyle w:val="Listparagraph-Outcomes"/>
      <w:lvlText w:val="›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4713BB5"/>
    <w:multiLevelType w:val="multilevel"/>
    <w:tmpl w:val="77B4B23C"/>
    <w:lvl w:ilvl="0">
      <w:start w:val="1"/>
      <w:numFmt w:val="bullet"/>
      <w:pStyle w:val="Examples"/>
      <w:lvlText w:val="–"/>
      <w:lvlJc w:val="left"/>
      <w:pPr>
        <w:ind w:left="360" w:firstLine="0"/>
      </w:pPr>
      <w:rPr>
        <w:rFonts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eastAsia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322" w:hanging="360"/>
      </w:pPr>
      <w:rPr>
        <w:rFonts w:ascii="Noto Sans Symbols" w:eastAsia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3042" w:hanging="360"/>
      </w:pPr>
      <w:rPr>
        <w:rFonts w:ascii="Noto Sans Symbols" w:eastAsia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eastAsia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482" w:hanging="360"/>
      </w:pPr>
      <w:rPr>
        <w:rFonts w:ascii="Noto Sans Symbols" w:eastAsia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202" w:hanging="360"/>
      </w:pPr>
      <w:rPr>
        <w:rFonts w:ascii="Noto Sans Symbols" w:eastAsia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eastAsia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642" w:hanging="360"/>
      </w:pPr>
      <w:rPr>
        <w:rFonts w:ascii="Noto Sans Symbols" w:eastAsia="Noto Sans Symbols" w:hAnsi="Noto Sans Symbols" w:cs="Noto Sans Symbols" w:hint="default"/>
      </w:rPr>
    </w:lvl>
  </w:abstractNum>
  <w:abstractNum w:abstractNumId="14" w15:restartNumberingAfterBreak="0">
    <w:nsid w:val="65AE108D"/>
    <w:multiLevelType w:val="multilevel"/>
    <w:tmpl w:val="3A3C99F2"/>
    <w:lvl w:ilvl="0">
      <w:start w:val="1"/>
      <w:numFmt w:val="bullet"/>
      <w:pStyle w:val="ListParagraph"/>
      <w:lvlText w:val=""/>
      <w:lvlJc w:val="left"/>
      <w:pPr>
        <w:ind w:left="360" w:hanging="360"/>
      </w:pPr>
      <w:rPr>
        <w:rFonts w:ascii="Wingdings" w:hAnsi="Wingdings" w:hint="default"/>
        <w:color w:val="280070"/>
        <w:u w:val="none"/>
      </w:rPr>
    </w:lvl>
    <w:lvl w:ilvl="1">
      <w:start w:val="1"/>
      <w:numFmt w:val="bullet"/>
      <w:lvlText w:val="–"/>
      <w:lvlJc w:val="left"/>
      <w:pPr>
        <w:ind w:left="-655" w:firstLine="1080"/>
      </w:pPr>
      <w:rPr>
        <w:rFonts w:ascii="Arial" w:eastAsia="Arial" w:hAnsi="Arial" w:cs="Arial" w:hint="default"/>
        <w:color w:val="280070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hint="default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hint="default"/>
        <w:u w:val="none"/>
      </w:rPr>
    </w:lvl>
  </w:abstractNum>
  <w:num w:numId="1" w16cid:durableId="1749114827">
    <w:abstractNumId w:val="14"/>
  </w:num>
  <w:num w:numId="2" w16cid:durableId="301270353">
    <w:abstractNumId w:val="13"/>
  </w:num>
  <w:num w:numId="3" w16cid:durableId="1178041080">
    <w:abstractNumId w:val="14"/>
  </w:num>
  <w:num w:numId="4" w16cid:durableId="2102094465">
    <w:abstractNumId w:val="12"/>
  </w:num>
  <w:num w:numId="5" w16cid:durableId="1222327870">
    <w:abstractNumId w:val="11"/>
  </w:num>
  <w:num w:numId="6" w16cid:durableId="1343316326">
    <w:abstractNumId w:val="10"/>
  </w:num>
  <w:num w:numId="7" w16cid:durableId="1660772371">
    <w:abstractNumId w:val="14"/>
  </w:num>
  <w:num w:numId="8" w16cid:durableId="1142114655">
    <w:abstractNumId w:val="13"/>
  </w:num>
  <w:num w:numId="9" w16cid:durableId="890658038">
    <w:abstractNumId w:val="14"/>
  </w:num>
  <w:num w:numId="10" w16cid:durableId="192623180">
    <w:abstractNumId w:val="12"/>
  </w:num>
  <w:num w:numId="11" w16cid:durableId="1793554734">
    <w:abstractNumId w:val="11"/>
  </w:num>
  <w:num w:numId="12" w16cid:durableId="1068764665">
    <w:abstractNumId w:val="10"/>
  </w:num>
  <w:num w:numId="13" w16cid:durableId="685062374">
    <w:abstractNumId w:val="9"/>
  </w:num>
  <w:num w:numId="14" w16cid:durableId="595526449">
    <w:abstractNumId w:val="7"/>
  </w:num>
  <w:num w:numId="15" w16cid:durableId="197400255">
    <w:abstractNumId w:val="6"/>
  </w:num>
  <w:num w:numId="16" w16cid:durableId="1471365263">
    <w:abstractNumId w:val="5"/>
  </w:num>
  <w:num w:numId="17" w16cid:durableId="1468425845">
    <w:abstractNumId w:val="4"/>
  </w:num>
  <w:num w:numId="18" w16cid:durableId="192765634">
    <w:abstractNumId w:val="8"/>
  </w:num>
  <w:num w:numId="19" w16cid:durableId="1766463785">
    <w:abstractNumId w:val="3"/>
  </w:num>
  <w:num w:numId="20" w16cid:durableId="2106420588">
    <w:abstractNumId w:val="2"/>
  </w:num>
  <w:num w:numId="21" w16cid:durableId="423383525">
    <w:abstractNumId w:val="1"/>
  </w:num>
  <w:num w:numId="22" w16cid:durableId="19064498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8CB"/>
    <w:rsid w:val="0008183E"/>
    <w:rsid w:val="000B4A95"/>
    <w:rsid w:val="000C313C"/>
    <w:rsid w:val="000C71E4"/>
    <w:rsid w:val="001377BC"/>
    <w:rsid w:val="001600AF"/>
    <w:rsid w:val="001D2FD3"/>
    <w:rsid w:val="00201BB4"/>
    <w:rsid w:val="002A0C1D"/>
    <w:rsid w:val="003028CB"/>
    <w:rsid w:val="003565B7"/>
    <w:rsid w:val="003931E2"/>
    <w:rsid w:val="00396984"/>
    <w:rsid w:val="0042049B"/>
    <w:rsid w:val="00437D8D"/>
    <w:rsid w:val="00477749"/>
    <w:rsid w:val="004D4099"/>
    <w:rsid w:val="00510C0F"/>
    <w:rsid w:val="00606F08"/>
    <w:rsid w:val="006176D8"/>
    <w:rsid w:val="006443F8"/>
    <w:rsid w:val="00675EBC"/>
    <w:rsid w:val="006F3330"/>
    <w:rsid w:val="00731310"/>
    <w:rsid w:val="007739CC"/>
    <w:rsid w:val="00793FED"/>
    <w:rsid w:val="007E6225"/>
    <w:rsid w:val="008936E9"/>
    <w:rsid w:val="009770E9"/>
    <w:rsid w:val="009B72F1"/>
    <w:rsid w:val="00A15833"/>
    <w:rsid w:val="00B232C0"/>
    <w:rsid w:val="00B62884"/>
    <w:rsid w:val="00BA48FF"/>
    <w:rsid w:val="00BC54A2"/>
    <w:rsid w:val="00BD7E1E"/>
    <w:rsid w:val="00C15A60"/>
    <w:rsid w:val="00C625B6"/>
    <w:rsid w:val="00CF4CA3"/>
    <w:rsid w:val="00D63CB5"/>
    <w:rsid w:val="00E742F0"/>
    <w:rsid w:val="00E77548"/>
    <w:rsid w:val="00EC1073"/>
    <w:rsid w:val="00FE09B7"/>
    <w:rsid w:val="00FF7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54E52DFC"/>
  <w15:chartTrackingRefBased/>
  <w15:docId w15:val="{C7210A68-27C2-4DC4-BC71-CD77F2540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0" w:qFormat="1"/>
    <w:lsdException w:name="heading 2" w:semiHidden="1" w:uiPriority="11" w:unhideWhenUsed="1" w:qFormat="1"/>
    <w:lsdException w:name="heading 3" w:semiHidden="1" w:uiPriority="12" w:unhideWhenUsed="1" w:qFormat="1"/>
    <w:lsdException w:name="heading 4" w:semiHidden="1" w:uiPriority="13" w:unhideWhenUsed="1" w:qFormat="1"/>
    <w:lsdException w:name="heading 5" w:semiHidden="1" w:uiPriority="14" w:unhideWhenUsed="1" w:qFormat="1"/>
    <w:lsdException w:name="heading 6" w:semiHidden="1" w:uiPriority="15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45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625B6"/>
    <w:pPr>
      <w:widowControl w:val="0"/>
      <w:spacing w:after="240" w:line="276" w:lineRule="auto"/>
    </w:pPr>
    <w:rPr>
      <w:rFonts w:ascii="Arial" w:eastAsia="Calibri" w:hAnsi="Arial"/>
      <w:spacing w:val="-2"/>
      <w:sz w:val="20"/>
    </w:rPr>
  </w:style>
  <w:style w:type="paragraph" w:styleId="Heading1">
    <w:name w:val="heading 1"/>
    <w:basedOn w:val="Normal"/>
    <w:next w:val="Normal"/>
    <w:link w:val="Heading1Char"/>
    <w:autoRedefine/>
    <w:uiPriority w:val="10"/>
    <w:rsid w:val="00BA48FF"/>
    <w:pPr>
      <w:pBdr>
        <w:bottom w:val="single" w:sz="4" w:space="1" w:color="auto"/>
      </w:pBdr>
      <w:spacing w:before="320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Normal"/>
    <w:next w:val="Normal"/>
    <w:link w:val="Heading2Char"/>
    <w:autoRedefine/>
    <w:uiPriority w:val="11"/>
    <w:qFormat/>
    <w:rsid w:val="00C625B6"/>
    <w:pPr>
      <w:ind w:left="993" w:hanging="993"/>
      <w:outlineLvl w:val="1"/>
    </w:pPr>
    <w:rPr>
      <w:b/>
      <w:bCs/>
      <w:color w:val="002664"/>
      <w:sz w:val="34"/>
      <w:szCs w:val="34"/>
    </w:rPr>
  </w:style>
  <w:style w:type="paragraph" w:styleId="Heading3">
    <w:name w:val="heading 3"/>
    <w:basedOn w:val="Normal"/>
    <w:next w:val="Normal"/>
    <w:link w:val="Heading3Char"/>
    <w:autoRedefine/>
    <w:uiPriority w:val="12"/>
    <w:qFormat/>
    <w:rsid w:val="00C625B6"/>
    <w:pPr>
      <w:spacing w:before="320"/>
      <w:ind w:left="1134" w:hanging="1134"/>
      <w:outlineLvl w:val="2"/>
    </w:pPr>
    <w:rPr>
      <w:rFonts w:cs="Calibri"/>
      <w:b/>
      <w:bCs/>
      <w:color w:val="002664"/>
      <w:sz w:val="30"/>
      <w:szCs w:val="30"/>
      <w:lang w:val="en-US"/>
    </w:rPr>
  </w:style>
  <w:style w:type="paragraph" w:styleId="Heading4">
    <w:name w:val="heading 4"/>
    <w:basedOn w:val="Normal"/>
    <w:next w:val="Normal"/>
    <w:link w:val="Heading4Char"/>
    <w:autoRedefine/>
    <w:uiPriority w:val="13"/>
    <w:qFormat/>
    <w:rsid w:val="00C625B6"/>
    <w:pPr>
      <w:spacing w:before="160" w:after="200"/>
      <w:outlineLvl w:val="3"/>
    </w:pPr>
    <w:rPr>
      <w:rFonts w:cs="Calibri"/>
      <w:b/>
      <w:bCs/>
      <w:color w:val="002664"/>
      <w:sz w:val="24"/>
      <w:szCs w:val="24"/>
      <w:lang w:val="en-US"/>
    </w:rPr>
  </w:style>
  <w:style w:type="paragraph" w:styleId="Heading5">
    <w:name w:val="heading 5"/>
    <w:basedOn w:val="Heading4"/>
    <w:next w:val="Normal"/>
    <w:link w:val="Heading5Char"/>
    <w:uiPriority w:val="14"/>
    <w:qFormat/>
    <w:rsid w:val="00C625B6"/>
    <w:pPr>
      <w:spacing w:after="240"/>
      <w:outlineLvl w:val="4"/>
    </w:pPr>
    <w:rPr>
      <w:sz w:val="22"/>
    </w:rPr>
  </w:style>
  <w:style w:type="paragraph" w:styleId="Heading6">
    <w:name w:val="heading 6"/>
    <w:basedOn w:val="Heading5"/>
    <w:next w:val="Normal"/>
    <w:link w:val="Heading6Char"/>
    <w:uiPriority w:val="15"/>
    <w:qFormat/>
    <w:rsid w:val="00C625B6"/>
    <w:pPr>
      <w:spacing w:before="200" w:after="80"/>
      <w:outlineLvl w:val="5"/>
    </w:pPr>
    <w:rPr>
      <w:caps/>
      <w:color w:val="CE0037"/>
      <w:sz w:val="16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625B6"/>
    <w:pPr>
      <w:keepNext/>
      <w:keepLines/>
      <w:spacing w:before="120" w:after="160"/>
      <w:ind w:left="426"/>
      <w:outlineLvl w:val="6"/>
    </w:pPr>
    <w:rPr>
      <w:rFonts w:eastAsiaTheme="majorEastAsia" w:cstheme="majorBidi"/>
      <w:b/>
      <w:bCs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1"/>
    <w:rsid w:val="00C625B6"/>
    <w:rPr>
      <w:rFonts w:ascii="Arial" w:eastAsia="Calibri" w:hAnsi="Arial"/>
      <w:b/>
      <w:bCs/>
      <w:color w:val="002664"/>
      <w:spacing w:val="-2"/>
      <w:sz w:val="34"/>
      <w:szCs w:val="34"/>
    </w:rPr>
  </w:style>
  <w:style w:type="character" w:styleId="Hyperlink">
    <w:name w:val="Hyperlink"/>
    <w:uiPriority w:val="99"/>
    <w:qFormat/>
    <w:rsid w:val="008936E9"/>
    <w:rPr>
      <w:rFonts w:ascii="Arial" w:hAnsi="Arial"/>
      <w:color w:val="002664"/>
      <w:sz w:val="20"/>
      <w:u w:val="single"/>
    </w:rPr>
  </w:style>
  <w:style w:type="paragraph" w:styleId="Footer">
    <w:name w:val="footer"/>
    <w:basedOn w:val="Normal"/>
    <w:link w:val="FooterChar"/>
    <w:uiPriority w:val="45"/>
    <w:rsid w:val="00C625B6"/>
    <w:rPr>
      <w:rFonts w:cs="Arial"/>
      <w:color w:val="002664"/>
      <w:sz w:val="18"/>
      <w:szCs w:val="20"/>
    </w:rPr>
  </w:style>
  <w:style w:type="character" w:customStyle="1" w:styleId="FooterChar">
    <w:name w:val="Footer Char"/>
    <w:basedOn w:val="DefaultParagraphFont"/>
    <w:link w:val="Footer"/>
    <w:uiPriority w:val="45"/>
    <w:rsid w:val="00C625B6"/>
    <w:rPr>
      <w:rFonts w:ascii="Arial" w:eastAsia="Calibri" w:hAnsi="Arial" w:cs="Arial"/>
      <w:color w:val="002664"/>
      <w:spacing w:val="-2"/>
      <w:sz w:val="18"/>
      <w:szCs w:val="20"/>
    </w:rPr>
  </w:style>
  <w:style w:type="paragraph" w:styleId="Bibliography">
    <w:name w:val="Bibliography"/>
    <w:basedOn w:val="Normal"/>
    <w:next w:val="Normal"/>
    <w:uiPriority w:val="37"/>
    <w:unhideWhenUsed/>
    <w:rsid w:val="003028CB"/>
    <w:pPr>
      <w:spacing w:after="160"/>
    </w:pPr>
    <w:rPr>
      <w:color w:val="000000"/>
      <w:sz w:val="22"/>
      <w:szCs w:val="24"/>
    </w:rPr>
  </w:style>
  <w:style w:type="character" w:styleId="Emphasis">
    <w:name w:val="Emphasis"/>
    <w:basedOn w:val="DefaultParagraphFont"/>
    <w:uiPriority w:val="20"/>
    <w:qFormat/>
    <w:rsid w:val="00C625B6"/>
    <w:rPr>
      <w:rFonts w:ascii="Arial" w:hAnsi="Arial"/>
      <w:i/>
      <w:iCs/>
    </w:rPr>
  </w:style>
  <w:style w:type="paragraph" w:customStyle="1" w:styleId="Astudent">
    <w:name w:val="A student:"/>
    <w:basedOn w:val="Normal"/>
    <w:rsid w:val="00C625B6"/>
    <w:pPr>
      <w:widowControl/>
      <w:spacing w:after="160"/>
    </w:pPr>
    <w:rPr>
      <w:rFonts w:eastAsia="Arial" w:cs="Arial"/>
      <w:spacing w:val="0"/>
      <w:szCs w:val="20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5B6"/>
    <w:rPr>
      <w:rFonts w:ascii="Tahoma" w:eastAsia="Calibri" w:hAnsi="Tahoma" w:cs="Tahoma"/>
      <w:spacing w:val="-2"/>
      <w:sz w:val="16"/>
      <w:szCs w:val="16"/>
    </w:rPr>
  </w:style>
  <w:style w:type="paragraph" w:styleId="BodyText">
    <w:name w:val="Body Text"/>
    <w:basedOn w:val="Normal"/>
    <w:link w:val="BodyTextChar"/>
    <w:uiPriority w:val="1"/>
    <w:unhideWhenUsed/>
    <w:rsid w:val="00C625B6"/>
    <w:pPr>
      <w:spacing w:after="120"/>
    </w:pPr>
    <w:rPr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625B6"/>
    <w:rPr>
      <w:rFonts w:ascii="Arial" w:eastAsia="Calibri" w:hAnsi="Arial"/>
      <w:spacing w:val="-2"/>
    </w:rPr>
  </w:style>
  <w:style w:type="paragraph" w:styleId="Caption">
    <w:name w:val="caption"/>
    <w:basedOn w:val="Normal"/>
    <w:next w:val="Normal"/>
    <w:uiPriority w:val="35"/>
    <w:unhideWhenUsed/>
    <w:qFormat/>
    <w:rsid w:val="00C625B6"/>
    <w:pPr>
      <w:spacing w:after="200" w:line="240" w:lineRule="auto"/>
      <w:jc w:val="center"/>
    </w:pPr>
    <w:rPr>
      <w:i/>
      <w:iCs/>
      <w:color w:val="002664"/>
      <w:sz w:val="18"/>
      <w:szCs w:val="18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62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25B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25B6"/>
    <w:rPr>
      <w:rFonts w:ascii="Arial" w:eastAsia="Calibri" w:hAnsi="Arial"/>
      <w:spacing w:val="-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5B6"/>
    <w:rPr>
      <w:rFonts w:ascii="Arial" w:eastAsia="Calibri" w:hAnsi="Arial"/>
      <w:b/>
      <w:bCs/>
      <w:spacing w:val="-2"/>
      <w:sz w:val="20"/>
      <w:szCs w:val="20"/>
    </w:rPr>
  </w:style>
  <w:style w:type="paragraph" w:customStyle="1" w:styleId="Copyright">
    <w:name w:val="Copyright"/>
    <w:basedOn w:val="Normal"/>
    <w:uiPriority w:val="1"/>
    <w:rsid w:val="00C625B6"/>
    <w:pPr>
      <w:spacing w:after="120"/>
    </w:pPr>
    <w:rPr>
      <w:szCs w:val="20"/>
    </w:rPr>
  </w:style>
  <w:style w:type="paragraph" w:customStyle="1" w:styleId="Default">
    <w:name w:val="Default"/>
    <w:rsid w:val="00C625B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paragraph" w:customStyle="1" w:styleId="Disclaimertext">
    <w:name w:val="Disclaimer text"/>
    <w:basedOn w:val="Normal"/>
    <w:link w:val="DisclaimertextChar"/>
    <w:autoRedefine/>
    <w:uiPriority w:val="49"/>
    <w:qFormat/>
    <w:rsid w:val="00C625B6"/>
    <w:rPr>
      <w:rFonts w:cs="Arial"/>
      <w:color w:val="002664"/>
      <w:szCs w:val="20"/>
    </w:rPr>
  </w:style>
  <w:style w:type="character" w:customStyle="1" w:styleId="DisclaimertextChar">
    <w:name w:val="Disclaimer text Char"/>
    <w:basedOn w:val="DefaultParagraphFont"/>
    <w:link w:val="Disclaimertext"/>
    <w:uiPriority w:val="49"/>
    <w:rsid w:val="00C625B6"/>
    <w:rPr>
      <w:rFonts w:ascii="Arial" w:eastAsia="Calibri" w:hAnsi="Arial" w:cs="Arial"/>
      <w:color w:val="002664"/>
      <w:spacing w:val="-2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625B6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625B6"/>
    <w:rPr>
      <w:rFonts w:ascii="Lucida Grande" w:eastAsia="Calibri" w:hAnsi="Lucida Grande" w:cs="Lucida Grande"/>
      <w:spacing w:val="-2"/>
      <w:sz w:val="24"/>
      <w:szCs w:val="24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625B6"/>
    <w:pPr>
      <w:widowControl/>
      <w:numPr>
        <w:numId w:val="9"/>
      </w:numPr>
      <w:spacing w:after="200"/>
      <w:ind w:right="40"/>
      <w:contextualSpacing/>
    </w:pPr>
    <w:rPr>
      <w:rFonts w:eastAsia="Arial" w:cs="Arial"/>
      <w:spacing w:val="0"/>
      <w:szCs w:val="20"/>
      <w:lang w:val="en-US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C625B6"/>
    <w:rPr>
      <w:rFonts w:ascii="Arial" w:eastAsia="Arial" w:hAnsi="Arial" w:cs="Arial"/>
      <w:sz w:val="20"/>
      <w:szCs w:val="20"/>
      <w:lang w:val="en-US" w:eastAsia="en-AU"/>
    </w:rPr>
  </w:style>
  <w:style w:type="paragraph" w:customStyle="1" w:styleId="Exampleheading">
    <w:name w:val="Example heading"/>
    <w:basedOn w:val="ListParagraph"/>
    <w:link w:val="ExampleheadingChar"/>
    <w:autoRedefine/>
    <w:uiPriority w:val="1"/>
    <w:qFormat/>
    <w:rsid w:val="00C625B6"/>
    <w:pPr>
      <w:numPr>
        <w:numId w:val="0"/>
      </w:numPr>
    </w:pPr>
    <w:rPr>
      <w:b/>
      <w:bCs/>
      <w:color w:val="002664"/>
      <w:sz w:val="16"/>
    </w:rPr>
  </w:style>
  <w:style w:type="character" w:customStyle="1" w:styleId="ExampleheadingChar">
    <w:name w:val="Example heading Char"/>
    <w:basedOn w:val="ListParagraphChar"/>
    <w:link w:val="Exampleheading"/>
    <w:uiPriority w:val="1"/>
    <w:rsid w:val="00C625B6"/>
    <w:rPr>
      <w:rFonts w:ascii="Arial" w:eastAsia="Arial" w:hAnsi="Arial" w:cs="Arial"/>
      <w:b/>
      <w:bCs/>
      <w:color w:val="002664"/>
      <w:sz w:val="16"/>
      <w:szCs w:val="20"/>
      <w:lang w:val="en-US" w:eastAsia="en-AU"/>
    </w:rPr>
  </w:style>
  <w:style w:type="paragraph" w:customStyle="1" w:styleId="Examples">
    <w:name w:val="Examples"/>
    <w:basedOn w:val="Normal"/>
    <w:uiPriority w:val="1"/>
    <w:qFormat/>
    <w:rsid w:val="00C625B6"/>
    <w:pPr>
      <w:numPr>
        <w:numId w:val="8"/>
      </w:numPr>
      <w:shd w:val="clear" w:color="auto" w:fill="D9D9D9" w:themeFill="background1" w:themeFillShade="D9"/>
      <w:spacing w:after="20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625B6"/>
    <w:rPr>
      <w:rFonts w:ascii="Arial" w:hAnsi="Arial"/>
      <w:color w:val="92318E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625B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C625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625B6"/>
    <w:rPr>
      <w:rFonts w:ascii="Arial" w:eastAsia="Calibri" w:hAnsi="Arial"/>
      <w:spacing w:val="-2"/>
      <w:sz w:val="20"/>
      <w:szCs w:val="20"/>
    </w:rPr>
  </w:style>
  <w:style w:type="paragraph" w:customStyle="1" w:styleId="FootnoteDoubledigit">
    <w:name w:val="Footnote: Double digit"/>
    <w:autoRedefine/>
    <w:uiPriority w:val="1"/>
    <w:qFormat/>
    <w:rsid w:val="00C625B6"/>
    <w:pPr>
      <w:spacing w:after="0" w:line="240" w:lineRule="auto"/>
      <w:ind w:left="284" w:hanging="284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FootnoteAdditionalexampledoubledigits">
    <w:name w:val="Footnote: Additional example double digits"/>
    <w:basedOn w:val="FootnoteDoubledigit"/>
    <w:uiPriority w:val="1"/>
    <w:qFormat/>
    <w:rsid w:val="00C625B6"/>
    <w:pPr>
      <w:ind w:hanging="142"/>
    </w:pPr>
  </w:style>
  <w:style w:type="paragraph" w:customStyle="1" w:styleId="FootnoteAdditionalexamplessingledigits">
    <w:name w:val="Footnote: Additional examples single digits"/>
    <w:autoRedefine/>
    <w:uiPriority w:val="1"/>
    <w:qFormat/>
    <w:rsid w:val="00C625B6"/>
    <w:pPr>
      <w:spacing w:after="0" w:line="240" w:lineRule="auto"/>
      <w:ind w:left="233" w:hanging="142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FootnoteSingledigit">
    <w:name w:val="Footnote: Single digit"/>
    <w:uiPriority w:val="1"/>
    <w:qFormat/>
    <w:rsid w:val="00C625B6"/>
    <w:pPr>
      <w:spacing w:after="0" w:line="240" w:lineRule="auto"/>
      <w:ind w:left="227" w:hanging="227"/>
    </w:pPr>
    <w:rPr>
      <w:rFonts w:ascii="Arial" w:eastAsia="Calibri" w:hAnsi="Arial"/>
      <w:color w:val="002664"/>
      <w:spacing w:val="-2"/>
      <w:sz w:val="16"/>
      <w:szCs w:val="20"/>
    </w:rPr>
  </w:style>
  <w:style w:type="paragraph" w:customStyle="1" w:styleId="Frontpage-Dates">
    <w:name w:val="Frontpage - Dates"/>
    <w:basedOn w:val="Normal"/>
    <w:next w:val="Normal"/>
    <w:uiPriority w:val="1"/>
    <w:rsid w:val="00C625B6"/>
    <w:rPr>
      <w:b/>
      <w:bCs/>
      <w:color w:val="002664"/>
      <w:sz w:val="36"/>
      <w:szCs w:val="36"/>
    </w:rPr>
  </w:style>
  <w:style w:type="paragraph" w:customStyle="1" w:styleId="Frontpage-Packageinfo">
    <w:name w:val="Frontpage - Package info"/>
    <w:basedOn w:val="Normal"/>
    <w:uiPriority w:val="1"/>
    <w:rsid w:val="00C625B6"/>
    <w:pPr>
      <w:spacing w:before="800" w:after="400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rsid w:val="00C625B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5B6"/>
    <w:rPr>
      <w:rFonts w:ascii="Arial" w:eastAsia="Calibri" w:hAnsi="Arial"/>
      <w:spacing w:val="-2"/>
      <w:sz w:val="20"/>
    </w:rPr>
  </w:style>
  <w:style w:type="character" w:customStyle="1" w:styleId="Heading1Char">
    <w:name w:val="Heading 1 Char"/>
    <w:basedOn w:val="DefaultParagraphFont"/>
    <w:link w:val="Heading1"/>
    <w:uiPriority w:val="10"/>
    <w:rsid w:val="00BA48FF"/>
    <w:rPr>
      <w:rFonts w:ascii="Arial" w:eastAsia="Calibri" w:hAnsi="Arial" w:cs="Calibri"/>
      <w:b/>
      <w:bCs/>
      <w:color w:val="002664"/>
      <w:spacing w:val="-2"/>
      <w:sz w:val="40"/>
      <w:szCs w:val="40"/>
    </w:rPr>
  </w:style>
  <w:style w:type="character" w:customStyle="1" w:styleId="Heading3Char">
    <w:name w:val="Heading 3 Char"/>
    <w:basedOn w:val="DefaultParagraphFont"/>
    <w:link w:val="Heading3"/>
    <w:uiPriority w:val="12"/>
    <w:rsid w:val="00C625B6"/>
    <w:rPr>
      <w:rFonts w:ascii="Arial" w:eastAsia="Calibri" w:hAnsi="Arial" w:cs="Calibri"/>
      <w:b/>
      <w:bCs/>
      <w:color w:val="002664"/>
      <w:spacing w:val="-2"/>
      <w:sz w:val="30"/>
      <w:szCs w:val="30"/>
      <w:lang w:val="en-US"/>
    </w:rPr>
  </w:style>
  <w:style w:type="character" w:customStyle="1" w:styleId="Heading4Char">
    <w:name w:val="Heading 4 Char"/>
    <w:basedOn w:val="DefaultParagraphFont"/>
    <w:link w:val="Heading4"/>
    <w:uiPriority w:val="13"/>
    <w:rsid w:val="00C625B6"/>
    <w:rPr>
      <w:rFonts w:ascii="Arial" w:eastAsia="Calibri" w:hAnsi="Arial" w:cs="Calibri"/>
      <w:b/>
      <w:bCs/>
      <w:color w:val="002664"/>
      <w:spacing w:val="-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14"/>
    <w:rsid w:val="00C625B6"/>
    <w:rPr>
      <w:rFonts w:ascii="Arial" w:eastAsia="Calibri" w:hAnsi="Arial" w:cs="Calibri"/>
      <w:b/>
      <w:bCs/>
      <w:color w:val="002664"/>
      <w:spacing w:val="-2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15"/>
    <w:rsid w:val="00C625B6"/>
    <w:rPr>
      <w:rFonts w:ascii="Arial" w:eastAsia="Calibri" w:hAnsi="Arial" w:cs="Calibri"/>
      <w:b/>
      <w:bCs/>
      <w:caps/>
      <w:color w:val="CE0037"/>
      <w:spacing w:val="-2"/>
      <w:sz w:val="16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C625B6"/>
    <w:rPr>
      <w:rFonts w:ascii="Arial" w:eastAsiaTheme="majorEastAsia" w:hAnsi="Arial" w:cstheme="majorBidi"/>
      <w:b/>
      <w:bCs/>
      <w:iCs/>
      <w:color w:val="404040" w:themeColor="text1" w:themeTint="BF"/>
      <w:spacing w:val="-2"/>
      <w:sz w:val="20"/>
    </w:rPr>
  </w:style>
  <w:style w:type="paragraph" w:customStyle="1" w:styleId="HeadingTOC">
    <w:name w:val="Heading TOC"/>
    <w:basedOn w:val="Heading1"/>
    <w:autoRedefine/>
    <w:rsid w:val="00C625B6"/>
    <w:pPr>
      <w:keepNext/>
      <w:keepLines/>
      <w:widowControl/>
      <w:spacing w:before="0" w:after="120"/>
      <w:contextualSpacing/>
    </w:pPr>
    <w:rPr>
      <w:rFonts w:eastAsia="Arial" w:cs="Arial"/>
      <w:spacing w:val="0"/>
      <w:lang w:eastAsia="en-AU"/>
    </w:rPr>
  </w:style>
  <w:style w:type="table" w:styleId="LightShading-Accent6">
    <w:name w:val="Light Shading Accent 6"/>
    <w:basedOn w:val="TableNormal"/>
    <w:uiPriority w:val="60"/>
    <w:rsid w:val="00C625B6"/>
    <w:pPr>
      <w:spacing w:after="0" w:line="240" w:lineRule="auto"/>
    </w:pPr>
    <w:rPr>
      <w:rFonts w:eastAsiaTheme="minorEastAsia"/>
      <w:color w:val="538135" w:themeColor="accent6" w:themeShade="BF"/>
      <w:lang w:eastAsia="en-AU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paragraph" w:customStyle="1" w:styleId="List-Dash">
    <w:name w:val="List - Dash"/>
    <w:basedOn w:val="ListParagraph"/>
    <w:uiPriority w:val="7"/>
    <w:rsid w:val="00C625B6"/>
    <w:pPr>
      <w:numPr>
        <w:numId w:val="0"/>
      </w:numPr>
      <w:ind w:left="-655" w:firstLine="1080"/>
    </w:pPr>
  </w:style>
  <w:style w:type="paragraph" w:customStyle="1" w:styleId="List-Dot">
    <w:name w:val="List - Dot"/>
    <w:basedOn w:val="ListParagraph"/>
    <w:uiPriority w:val="6"/>
    <w:rsid w:val="00C625B6"/>
    <w:pPr>
      <w:ind w:left="357" w:hanging="357"/>
    </w:pPr>
  </w:style>
  <w:style w:type="paragraph" w:customStyle="1" w:styleId="Listparagraph-Outcomes">
    <w:name w:val="List paragraph - Outcomes"/>
    <w:basedOn w:val="ListParagraph"/>
    <w:rsid w:val="00C625B6"/>
    <w:pPr>
      <w:numPr>
        <w:numId w:val="10"/>
      </w:numPr>
    </w:pPr>
  </w:style>
  <w:style w:type="table" w:customStyle="1" w:styleId="NESATable">
    <w:name w:val="NESA Table"/>
    <w:basedOn w:val="TableNormal"/>
    <w:uiPriority w:val="99"/>
    <w:rsid w:val="00C625B6"/>
    <w:pPr>
      <w:spacing w:after="0" w:line="240" w:lineRule="auto"/>
      <w:ind w:left="40" w:right="40"/>
    </w:pPr>
    <w:rPr>
      <w:rFonts w:ascii="Arial" w:hAnsi="Arial"/>
      <w:sz w:val="20"/>
      <w:lang w:eastAsia="en-AU"/>
    </w:rPr>
    <w:tblPr>
      <w:tblBorders>
        <w:top w:val="single" w:sz="4" w:space="0" w:color="041E42"/>
        <w:left w:val="single" w:sz="4" w:space="0" w:color="041E42"/>
        <w:bottom w:val="single" w:sz="4" w:space="0" w:color="041E42"/>
        <w:right w:val="single" w:sz="4" w:space="0" w:color="041E42"/>
        <w:insideH w:val="single" w:sz="4" w:space="0" w:color="041E42"/>
        <w:insideV w:val="single" w:sz="4" w:space="0" w:color="041E42"/>
      </w:tblBorders>
      <w:tblCellMar>
        <w:top w:w="113" w:type="dxa"/>
        <w:left w:w="113" w:type="dxa"/>
        <w:bottom w:w="57" w:type="dxa"/>
        <w:right w:w="113" w:type="dxa"/>
      </w:tblCellMar>
    </w:tblPr>
    <w:trPr>
      <w:cantSplit/>
    </w:trPr>
    <w:tblStylePr w:type="firstRow">
      <w:pPr>
        <w:widowControl/>
        <w:wordWrap/>
      </w:pPr>
      <w:rPr>
        <w:rFonts w:ascii="Arial" w:hAnsi="Arial"/>
        <w:b/>
      </w:rPr>
      <w:tblPr/>
      <w:tcPr>
        <w:shd w:val="clear" w:color="auto" w:fill="041E42"/>
      </w:tcPr>
    </w:tblStylePr>
    <w:tblStylePr w:type="firstCol">
      <w:rPr>
        <w:b w:val="0"/>
      </w:rPr>
    </w:tblStylePr>
  </w:style>
  <w:style w:type="paragraph" w:styleId="NoSpacing">
    <w:name w:val="No Spacing"/>
    <w:basedOn w:val="Normal"/>
    <w:uiPriority w:val="1"/>
    <w:rsid w:val="00C625B6"/>
    <w:pPr>
      <w:spacing w:after="80"/>
    </w:pPr>
    <w:rPr>
      <w:rFonts w:cs="Arial"/>
      <w:i/>
    </w:rPr>
  </w:style>
  <w:style w:type="paragraph" w:styleId="NormalWeb">
    <w:name w:val="Normal (Web)"/>
    <w:basedOn w:val="Normal"/>
    <w:uiPriority w:val="99"/>
    <w:unhideWhenUsed/>
    <w:rsid w:val="00C625B6"/>
    <w:pPr>
      <w:widowControl/>
      <w:spacing w:before="100" w:beforeAutospacing="1" w:after="100" w:afterAutospacing="1" w:line="240" w:lineRule="auto"/>
    </w:pPr>
    <w:rPr>
      <w:rFonts w:ascii="Calibri" w:eastAsiaTheme="minorHAnsi" w:hAnsi="Calibri" w:cs="Calibri"/>
      <w:spacing w:val="0"/>
      <w:sz w:val="22"/>
      <w:lang w:eastAsia="en-AU"/>
    </w:rPr>
  </w:style>
  <w:style w:type="paragraph" w:customStyle="1" w:styleId="Numberedlist">
    <w:name w:val="Numbered list"/>
    <w:basedOn w:val="ListParagraph"/>
    <w:uiPriority w:val="8"/>
    <w:rsid w:val="00C625B6"/>
    <w:pPr>
      <w:numPr>
        <w:numId w:val="11"/>
      </w:numPr>
    </w:pPr>
  </w:style>
  <w:style w:type="paragraph" w:customStyle="1" w:styleId="Organisationname">
    <w:name w:val="Organisation name"/>
    <w:basedOn w:val="Normal"/>
    <w:uiPriority w:val="40"/>
    <w:semiHidden/>
    <w:qFormat/>
    <w:rsid w:val="00C625B6"/>
    <w:pPr>
      <w:tabs>
        <w:tab w:val="right" w:pos="8931"/>
      </w:tabs>
      <w:spacing w:after="0"/>
    </w:pPr>
    <w:rPr>
      <w:b/>
      <w:color w:val="041E42"/>
      <w:position w:val="30"/>
      <w:sz w:val="28"/>
      <w:szCs w:val="28"/>
    </w:rPr>
  </w:style>
  <w:style w:type="character" w:styleId="PageNumber">
    <w:name w:val="page number"/>
    <w:basedOn w:val="DefaultParagraphFont"/>
    <w:uiPriority w:val="99"/>
    <w:semiHidden/>
    <w:unhideWhenUsed/>
    <w:rsid w:val="00C625B6"/>
  </w:style>
  <w:style w:type="character" w:styleId="PlaceholderText">
    <w:name w:val="Placeholder Text"/>
    <w:basedOn w:val="DefaultParagraphFont"/>
    <w:uiPriority w:val="99"/>
    <w:semiHidden/>
    <w:rsid w:val="00C625B6"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rsid w:val="00C625B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C625B6"/>
    <w:rPr>
      <w:rFonts w:ascii="Arial" w:eastAsia="Calibri" w:hAnsi="Arial"/>
      <w:b/>
      <w:i/>
      <w:iCs/>
      <w:color w:val="92318E"/>
      <w:spacing w:val="-2"/>
      <w:sz w:val="20"/>
    </w:rPr>
  </w:style>
  <w:style w:type="paragraph" w:customStyle="1" w:styleId="RelatedLifeSkilloutcome">
    <w:name w:val="Related Life Skill outcome"/>
    <w:basedOn w:val="Normal"/>
    <w:uiPriority w:val="1"/>
    <w:qFormat/>
    <w:rsid w:val="00C625B6"/>
    <w:pPr>
      <w:widowControl/>
      <w:pBdr>
        <w:top w:val="nil"/>
        <w:left w:val="nil"/>
        <w:bottom w:val="nil"/>
        <w:right w:val="nil"/>
        <w:between w:val="nil"/>
      </w:pBdr>
      <w:spacing w:before="120" w:after="360"/>
    </w:pPr>
    <w:rPr>
      <w:b/>
    </w:rPr>
  </w:style>
  <w:style w:type="paragraph" w:customStyle="1" w:styleId="RelatedLifeSkillsoutcomes">
    <w:name w:val="Related Life Skills outcomes"/>
    <w:basedOn w:val="Normal"/>
    <w:link w:val="RelatedLifeSkillsoutcomesChar"/>
    <w:uiPriority w:val="1"/>
    <w:qFormat/>
    <w:rsid w:val="00C625B6"/>
    <w:pPr>
      <w:widowControl/>
      <w:pBdr>
        <w:top w:val="nil"/>
        <w:left w:val="nil"/>
        <w:bottom w:val="nil"/>
        <w:right w:val="nil"/>
        <w:between w:val="nil"/>
      </w:pBdr>
      <w:spacing w:before="200"/>
    </w:pPr>
  </w:style>
  <w:style w:type="character" w:customStyle="1" w:styleId="RelatedLifeSkillsoutcomesChar">
    <w:name w:val="Related Life Skills outcomes Char"/>
    <w:basedOn w:val="DefaultParagraphFont"/>
    <w:link w:val="RelatedLifeSkillsoutcomes"/>
    <w:uiPriority w:val="1"/>
    <w:rsid w:val="00C625B6"/>
    <w:rPr>
      <w:rFonts w:ascii="Arial" w:eastAsia="Calibri" w:hAnsi="Arial"/>
      <w:spacing w:val="-2"/>
      <w:sz w:val="20"/>
    </w:rPr>
  </w:style>
  <w:style w:type="paragraph" w:customStyle="1" w:styleId="Secondbulletafterexample">
    <w:name w:val="Second bullet after example"/>
    <w:basedOn w:val="Normal"/>
    <w:uiPriority w:val="1"/>
    <w:qFormat/>
    <w:rsid w:val="00C625B6"/>
    <w:pPr>
      <w:widowControl/>
      <w:numPr>
        <w:numId w:val="12"/>
      </w:numPr>
      <w:spacing w:before="200" w:after="200"/>
      <w:contextualSpacing/>
    </w:pPr>
    <w:rPr>
      <w:rFonts w:eastAsia="Arial" w:cs="Arial"/>
      <w:spacing w:val="0"/>
      <w:szCs w:val="20"/>
      <w:lang w:val="en-US" w:eastAsia="en-AU"/>
    </w:rPr>
  </w:style>
  <w:style w:type="character" w:styleId="Strong">
    <w:name w:val="Strong"/>
    <w:basedOn w:val="DefaultParagraphFont"/>
    <w:uiPriority w:val="22"/>
    <w:rsid w:val="00C625B6"/>
    <w:rPr>
      <w:b/>
      <w:bCs/>
    </w:rPr>
  </w:style>
  <w:style w:type="paragraph" w:styleId="Subtitle">
    <w:name w:val="Subtitle"/>
    <w:basedOn w:val="Normal"/>
    <w:next w:val="Normal"/>
    <w:link w:val="SubtitleChar"/>
    <w:autoRedefine/>
    <w:uiPriority w:val="16"/>
    <w:rsid w:val="00C625B6"/>
    <w:rPr>
      <w:rFonts w:cs="Arial"/>
      <w:b/>
      <w:color w:val="002664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6"/>
    <w:rsid w:val="00C625B6"/>
    <w:rPr>
      <w:rFonts w:ascii="Arial" w:eastAsia="Calibri" w:hAnsi="Arial" w:cs="Arial"/>
      <w:b/>
      <w:color w:val="002664"/>
      <w:spacing w:val="-2"/>
      <w:sz w:val="52"/>
      <w:szCs w:val="52"/>
    </w:rPr>
  </w:style>
  <w:style w:type="table" w:styleId="TableGrid">
    <w:name w:val="Table Grid"/>
    <w:basedOn w:val="TableNormal"/>
    <w:uiPriority w:val="39"/>
    <w:rsid w:val="00C625B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25B6"/>
    <w:pPr>
      <w:spacing w:after="0" w:line="240" w:lineRule="auto"/>
    </w:pPr>
    <w:rPr>
      <w:rFonts w:ascii="Arial" w:eastAsia="Arial" w:hAnsi="Arial" w:cs="Arial"/>
      <w:spacing w:val="-2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ing">
    <w:name w:val="Table heading"/>
    <w:basedOn w:val="Heading5"/>
    <w:link w:val="TableheadingChar"/>
    <w:autoRedefine/>
    <w:uiPriority w:val="15"/>
    <w:rsid w:val="00C625B6"/>
    <w:pPr>
      <w:spacing w:before="40"/>
      <w:ind w:left="40" w:right="40"/>
    </w:pPr>
    <w:rPr>
      <w:rFonts w:cs="Arial"/>
      <w:b w:val="0"/>
      <w:color w:val="FFFFFF" w:themeColor="background1"/>
      <w:lang w:eastAsia="en-AU"/>
    </w:rPr>
  </w:style>
  <w:style w:type="character" w:customStyle="1" w:styleId="TableheadingChar">
    <w:name w:val="Table heading Char"/>
    <w:basedOn w:val="Heading5Char"/>
    <w:link w:val="Tableheading"/>
    <w:uiPriority w:val="15"/>
    <w:rsid w:val="00C625B6"/>
    <w:rPr>
      <w:rFonts w:ascii="Arial" w:eastAsia="Calibri" w:hAnsi="Arial" w:cs="Arial"/>
      <w:b w:val="0"/>
      <w:bCs/>
      <w:color w:val="FFFFFF" w:themeColor="background1"/>
      <w:spacing w:val="-2"/>
      <w:szCs w:val="24"/>
      <w:lang w:val="en-US" w:eastAsia="en-AU"/>
    </w:rPr>
  </w:style>
  <w:style w:type="paragraph" w:customStyle="1" w:styleId="TableParagraph">
    <w:name w:val="Table Paragraph"/>
    <w:basedOn w:val="Normal"/>
    <w:uiPriority w:val="15"/>
    <w:qFormat/>
    <w:rsid w:val="00C625B6"/>
    <w:pPr>
      <w:spacing w:before="40" w:after="0"/>
      <w:ind w:left="40" w:right="40"/>
    </w:pPr>
    <w:rPr>
      <w:lang w:eastAsia="en-AU"/>
    </w:rPr>
  </w:style>
  <w:style w:type="paragraph" w:customStyle="1" w:styleId="Tabletext">
    <w:name w:val="Table text"/>
    <w:basedOn w:val="Normal"/>
    <w:rsid w:val="00C625B6"/>
    <w:pPr>
      <w:widowControl/>
      <w:spacing w:after="0"/>
    </w:pPr>
    <w:rPr>
      <w:rFonts w:eastAsia="Arial" w:cs="Arial"/>
      <w:spacing w:val="0"/>
      <w:szCs w:val="20"/>
      <w:lang w:eastAsia="en-AU"/>
    </w:rPr>
  </w:style>
  <w:style w:type="paragraph" w:styleId="Title">
    <w:name w:val="Title"/>
    <w:basedOn w:val="Normal"/>
    <w:next w:val="Normal"/>
    <w:link w:val="TitleChar"/>
    <w:autoRedefine/>
    <w:uiPriority w:val="10"/>
    <w:rsid w:val="00C625B6"/>
    <w:pPr>
      <w:keepLines/>
      <w:spacing w:before="3200"/>
      <w:ind w:right="34"/>
    </w:pPr>
    <w:rPr>
      <w:rFonts w:cs="Calibri"/>
      <w:b/>
      <w:bCs/>
      <w:color w:val="002664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625B6"/>
    <w:rPr>
      <w:rFonts w:ascii="Arial" w:eastAsia="Calibri" w:hAnsi="Arial" w:cs="Calibri"/>
      <w:b/>
      <w:bCs/>
      <w:color w:val="002664"/>
      <w:spacing w:val="-2"/>
      <w:sz w:val="60"/>
      <w:szCs w:val="60"/>
    </w:rPr>
  </w:style>
  <w:style w:type="paragraph" w:styleId="TOC1">
    <w:name w:val="toc 1"/>
    <w:basedOn w:val="Normal"/>
    <w:uiPriority w:val="39"/>
    <w:rsid w:val="00C625B6"/>
    <w:pPr>
      <w:tabs>
        <w:tab w:val="right" w:leader="dot" w:pos="8789"/>
      </w:tabs>
      <w:spacing w:before="80" w:after="120"/>
      <w:ind w:left="425" w:right="380" w:hanging="425"/>
    </w:pPr>
    <w:rPr>
      <w:rFonts w:cs="Arial"/>
      <w:noProof/>
    </w:rPr>
  </w:style>
  <w:style w:type="paragraph" w:styleId="TOC2">
    <w:name w:val="toc 2"/>
    <w:basedOn w:val="Normal"/>
    <w:uiPriority w:val="39"/>
    <w:rsid w:val="00C625B6"/>
    <w:pPr>
      <w:tabs>
        <w:tab w:val="right" w:leader="dot" w:pos="8789"/>
      </w:tabs>
      <w:spacing w:before="120"/>
      <w:ind w:left="709" w:right="380" w:hanging="425"/>
    </w:pPr>
    <w:rPr>
      <w:rFonts w:cs="Arial"/>
      <w:noProof/>
    </w:rPr>
  </w:style>
  <w:style w:type="paragraph" w:styleId="TOC3">
    <w:name w:val="toc 3"/>
    <w:basedOn w:val="TOC2"/>
    <w:uiPriority w:val="39"/>
    <w:rsid w:val="00C625B6"/>
    <w:pPr>
      <w:ind w:left="1134" w:hanging="567"/>
    </w:pPr>
  </w:style>
  <w:style w:type="paragraph" w:styleId="TOCHeading">
    <w:name w:val="TOC Heading"/>
    <w:basedOn w:val="Normal"/>
    <w:next w:val="Normal"/>
    <w:autoRedefine/>
    <w:uiPriority w:val="39"/>
    <w:unhideWhenUsed/>
    <w:rsid w:val="00C625B6"/>
    <w:pPr>
      <w:pBdr>
        <w:bottom w:val="single" w:sz="4" w:space="1" w:color="auto"/>
      </w:pBdr>
    </w:pPr>
    <w:rPr>
      <w:b/>
      <w:color w:val="002664"/>
      <w:sz w:val="40"/>
    </w:rPr>
  </w:style>
  <w:style w:type="character" w:styleId="UnresolvedMention">
    <w:name w:val="Unresolved Mention"/>
    <w:basedOn w:val="DefaultParagraphFont"/>
    <w:uiPriority w:val="99"/>
    <w:semiHidden/>
    <w:unhideWhenUsed/>
    <w:rsid w:val="00C625B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A48FF"/>
    <w:pPr>
      <w:spacing w:after="0" w:line="240" w:lineRule="auto"/>
    </w:pPr>
    <w:rPr>
      <w:rFonts w:ascii="Arial" w:eastAsia="Calibri" w:hAnsi="Arial"/>
      <w:spacing w:val="-2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5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hw.gov.au/reports/australias-health/australias-health-2016/contents/summary" TargetMode="External"/><Relationship Id="rId13" Type="http://schemas.openxmlformats.org/officeDocument/2006/relationships/hyperlink" Target="https://www.nhmrc.gov.au/guidelines-publications/e65" TargetMode="External"/><Relationship Id="rId18" Type="http://schemas.openxmlformats.org/officeDocument/2006/relationships/hyperlink" Target="https://www1.health.nsw.gov.au/pds/Pages/doc.aspx?dn=PD2017_034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acola.org/new-technology-security-saf05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hmrc.gov.au/about-us/publications/values-and-ethics-guidelines-ethical-conduct-aboriginal-and-torres-strait-islander-health-research" TargetMode="External"/><Relationship Id="rId17" Type="http://schemas.openxmlformats.org/officeDocument/2006/relationships/hyperlink" Target="https://www.ehealth.nsw.gov.au/about/our-strategy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www.health.nsw.gov.au/statehealthplan/Pages/NSW-state-health-plan-towards-2021.aspx" TargetMode="External"/><Relationship Id="rId20" Type="http://schemas.openxmlformats.org/officeDocument/2006/relationships/hyperlink" Target="https://sdgs.un.org/2030agenda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esdoc.unesco.org/ark:/48223/pf0000231101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health.nsw.gov.au/regional/Pages/rural-health-plan.aspx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preventioncentre.org.au/about-prevention/what-is-the-burden-of-chronic-disease/" TargetMode="External"/><Relationship Id="rId19" Type="http://schemas.openxmlformats.org/officeDocument/2006/relationships/hyperlink" Target="https://www.un.org/development/desa/indigenouspeoples/publications/state-of-the-worlds-indigenous-peopl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ihw.gov.au/reports-statistics/health-welfare-overview/health-welfare-expenditure/overview" TargetMode="External"/><Relationship Id="rId14" Type="http://schemas.openxmlformats.org/officeDocument/2006/relationships/hyperlink" Target="https://www.health.nsw.gov.au/aboriginal/Pages/aboriginal-health-plan-2013-2023.aspx" TargetMode="External"/><Relationship Id="rId22" Type="http://schemas.openxmlformats.org/officeDocument/2006/relationships/hyperlink" Target="https://www.who.int/publications/i/item/9789241506236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GSM.xsl" StyleName="AGSM" Version="1">
  <b:Source>
    <b:Tag>The</b:Tag>
    <b:SourceType>InternetSite</b:SourceType>
    <b:Guid>{B5611477-DAB4-40B0-B7BC-548E1C658D84}</b:Guid>
    <b:Title>What is the burden of chronic disease?</b:Title>
    <b:Year>2018</b:Year>
    <b:InternetSiteTitle>The Australian Prevention Partnership Centre Web site</b:InternetSiteTitle>
    <b:URL>http://preventioncentre.org.au/about-prevention/what-is-the-burden-of-chronic-disease/</b:URL>
    <b:Author>
      <b:Author>
        <b:Corporate>The Australian Prevention Partnership Centre</b:Corporate>
      </b:Author>
    </b:Author>
    <b:RefOrder>1</b:RefOrder>
  </b:Source>
  <b:Source>
    <b:Tag>Aus17</b:Tag>
    <b:SourceType>InternetSite</b:SourceType>
    <b:Guid>{274857FA-FFFE-4891-A5F8-7BD54312E2F0}</b:Guid>
    <b:Author>
      <b:Author>
        <b:Corporate>Australian Institute of Health and Welfare</b:Corporate>
      </b:Author>
    </b:Author>
    <b:Title>Health expenditure Australia 2015–16</b:Title>
    <b:InternetSiteTitle>Australian Institute of Health and Welfare Web site</b:InternetSiteTitle>
    <b:URL>https://www.aihw.gov.au/reports-statistics/health-welfare-overview/health-welfare-expenditure/overview</b:URL>
    <b:Year>2017</b:Year>
    <b:RefOrder>2</b:RefOrder>
  </b:Source>
  <b:Source>
    <b:Tag>Dep05</b:Tag>
    <b:SourceType>InternetSite</b:SourceType>
    <b:Guid>{137C65A8-E581-4B1B-B5A6-8837FDAF6E1A}</b:Guid>
    <b:Author>
      <b:Author>
        <b:Corporate>Department of Education</b:Corporate>
      </b:Author>
    </b:Author>
    <b:Title>Disability Standards for Education 2005</b:Title>
    <b:InternetSiteTitle>Department of Education Web site</b:InternetSiteTitle>
    <b:URL>https://www.education.gov.au/disability-standards-education-2005</b:URL>
    <b:Year>2005</b:Year>
    <b:RefOrder>3</b:RefOrder>
  </b:Source>
  <b:Source>
    <b:Tag>Nat06</b:Tag>
    <b:SourceType>InternetSite</b:SourceType>
    <b:Guid>{565A7235-0DFA-4CA5-80E6-4D05A153E1FC}</b:Guid>
    <b:Author>
      <b:Author>
        <b:Corporate>National Health and Medical Research Council</b:Corporate>
      </b:Author>
    </b:Author>
    <b:Title>Keeping research on track: a guide for Aboriginal and Torres Strait Islander peoples about health research ethics</b:Title>
    <b:InternetSiteTitle>National Health and Medical Research Council Web site</b:InternetSiteTitle>
    <b:URL>https://www.nhmrc.gov.au/guidelines-publications/e65</b:URL>
    <b:Year>2006</b:Year>
    <b:RefOrder>4</b:RefOrder>
  </b:Source>
  <b:Source>
    <b:Tag>Maf17</b:Tag>
    <b:SourceType>JournalArticle</b:SourceType>
    <b:Guid>{9A1A00F8-582E-42BB-8CB0-59351E28C6E4}</b:Guid>
    <b:Author>
      <b:Author>
        <b:NameList>
          <b:Person>
            <b:Last>Maffetone</b:Last>
            <b:First>P</b:First>
            <b:Middle>B</b:Middle>
          </b:Person>
          <b:Person>
            <b:Last>Laursen</b:Last>
            <b:First>P</b:First>
            <b:Middle>B</b:Middle>
          </b:Person>
        </b:NameList>
      </b:Author>
    </b:Author>
    <b:Title>Reductions in training load and dietary carbohydrates help restore health and improve performance in an Ironman triathlete</b:Title>
    <b:JournalName>International Journal of Sports Science and Coaching</b:JournalName>
    <b:Year>2017</b:Year>
    <b:Pages>514–519</b:Pages>
    <b:Volume>12</b:Volume>
    <b:Issue>4</b:Issue>
    <b:DOI>10.1177/1747954117717873</b:DOI>
    <b:RefOrder>5</b:RefOrder>
  </b:Source>
  <b:Source>
    <b:Tag>Wei17</b:Tag>
    <b:SourceType>JournalArticle</b:SourceType>
    <b:Guid>{3DFD021A-3671-474D-8ACA-016F4031DAF6}</b:Guid>
    <b:Author>
      <b:Author>
        <b:NameList>
          <b:Person>
            <b:Last>Weiss</b:Last>
            <b:First>D</b:First>
          </b:Person>
          <b:Person>
            <b:Last>Eikemo</b:Last>
            <b:First>T</b:First>
            <b:Middle>A</b:Middle>
          </b:Person>
        </b:NameList>
      </b:Author>
    </b:Author>
    <b:Title>Technological innovations and the rise of social inequities in health</b:Title>
    <b:Year>2017</b:Year>
    <b:JournalName>Scandinavian Journal of Public Health</b:JournalName>
    <b:Pages>714–719</b:Pages>
    <b:Volume>45</b:Volume>
    <b:Issue>7</b:Issue>
    <b:DOI>10.1177/1403494817711371</b:DOI>
    <b:RefOrder>6</b:RefOrder>
  </b:Source>
  <b:Source>
    <b:Tag>Byt17</b:Tag>
    <b:SourceType>JournalArticle</b:SourceType>
    <b:Guid>{717E2525-3548-46F4-BB54-26B18D22ED19}</b:Guid>
    <b:Title>Fuelling for performance</b:Title>
    <b:Author>
      <b:Author>
        <b:NameList>
          <b:Person>
            <b:Last>Bytomski</b:Last>
            <b:First>J</b:First>
          </b:Person>
        </b:NameList>
      </b:Author>
    </b:Author>
    <b:JournalName>Sports Health</b:JournalName>
    <b:Year>2017</b:Year>
    <b:Pages>47–53</b:Pages>
    <b:Volume>10</b:Volume>
    <b:Issue>1</b:Issue>
    <b:DOI>10.1177/1941738117743913</b:DOI>
    <b:RefOrder>7</b:RefOrder>
  </b:Source>
  <b:Source>
    <b:Tag>McL18</b:Tag>
    <b:SourceType>JournalArticle</b:SourceType>
    <b:Guid>{FEC3D4DF-1F9B-4096-94CE-529A44CE1C97}</b:Guid>
    <b:Title>The relationships between internal and external measures of training load and intensity in team sports: a meta-analysis</b:Title>
    <b:Author>
      <b:Author>
        <b:NameList>
          <b:Person>
            <b:Last>McLaren</b:Last>
            <b:First>S</b:First>
            <b:Middle>J</b:Middle>
          </b:Person>
          <b:Person>
            <b:Last>Macpherson</b:Last>
            <b:First>T</b:First>
            <b:Middle>W</b:Middle>
          </b:Person>
          <b:Person>
            <b:Last>Coutts</b:Last>
            <b:First>A</b:First>
            <b:Middle>J</b:Middle>
          </b:Person>
          <b:Person>
            <b:Last>Hurst</b:Last>
            <b:First>C</b:First>
          </b:Person>
          <b:Person>
            <b:Last>Spears</b:Last>
            <b:First>I</b:First>
            <b:Middle>R</b:Middle>
          </b:Person>
          <b:Person>
            <b:Last>Weston</b:Last>
            <b:First>M</b:First>
          </b:Person>
        </b:NameList>
      </b:Author>
    </b:Author>
    <b:JournalName>Sports Medicine</b:JournalName>
    <b:Year>2018</b:Year>
    <b:Pages>641–658</b:Pages>
    <b:Volume>48</b:Volume>
    <b:Issue>3</b:Issue>
    <b:DOI>10.1007/s40279-017-0830-z</b:DOI>
    <b:RefOrder>8</b:RefOrder>
  </b:Source>
  <b:Source>
    <b:Tag>Orj18</b:Tag>
    <b:SourceType>JournalArticle</b:SourceType>
    <b:Guid>{6F547189-D75A-45CB-BB08-A4C848870D48}</b:Guid>
    <b:Author>
      <b:Author>
        <b:NameList>
          <b:Person>
            <b:Last>Orji</b:Last>
            <b:First>R</b:First>
          </b:Person>
          <b:Person>
            <b:Last>Moffatt</b:Last>
            <b:First>K</b:First>
          </b:Person>
        </b:NameList>
      </b:Author>
    </b:Author>
    <b:Title>Persuasive technology for health and wellness: state-of-the-art and emerging trends</b:Title>
    <b:JournalName>Health Informative Journal</b:JournalName>
    <b:Year>2018</b:Year>
    <b:Pages>66–91</b:Pages>
    <b:Volume>24</b:Volume>
    <b:Issue>1</b:Issue>
    <b:DOI>10.1177/1460458216650979</b:DOI>
    <b:RefOrder>9</b:RefOrder>
  </b:Source>
  <b:Source>
    <b:Tag>Wil15</b:Tag>
    <b:SourceType>DocumentFromInternetSite</b:SourceType>
    <b:Guid>{104929E4-FFE5-4791-9114-F03DB8F9B319}</b:Guid>
    <b:Title>Technology and Australia’s future: new technologies and their role in Australia’s security, cultural, democratic, social and economic systems</b:Title>
    <b:Year>2015</b:Year>
    <b:URL>https://acola.org.au/wp/PDF/SAF05/SAF05_Report_web_17Sept.pdf</b:URL>
    <b:Author>
      <b:Author>
        <b:NameList>
          <b:Person>
            <b:Last>Williamson</b:Last>
            <b:First>R</b:First>
            <b:Middle>C</b:Middle>
          </b:Person>
          <b:Person>
            <b:Last>Raghnaill</b:Last>
            <b:First>M</b:First>
            <b:Middle>N</b:Middle>
          </b:Person>
          <b:Person>
            <b:Last>Douglas</b:Last>
            <b:First>K</b:First>
          </b:Person>
          <b:Person>
            <b:Last>Sanchez</b:Last>
            <b:First>D</b:First>
          </b:Person>
        </b:NameList>
      </b:Author>
    </b:Author>
    <b:InternetSiteTitle>Australian Council of Learned Academies Web site</b:InternetSiteTitle>
    <b:RefOrder>10</b:RefOrder>
  </b:Source>
  <b:Source>
    <b:Tag>McL15</b:Tag>
    <b:SourceType>Report</b:SourceType>
    <b:Guid>{13CD01CE-6C61-45E0-B88B-9C4951D2B113}</b:Guid>
    <b:Author>
      <b:Author>
        <b:NameList>
          <b:Person>
            <b:Last>McLennan</b:Last>
            <b:First>Nancy</b:First>
          </b:Person>
          <b:Person>
            <b:Last>Thompson</b:Last>
            <b:First>Jannine</b:First>
          </b:Person>
        </b:NameList>
      </b:Author>
    </b:Author>
    <b:Title>Quality Physical Education (QPE) – guidelines for policy-makers</b:Title>
    <b:Year>2015</b:Year>
    <b:Institution>United Nations Educational, Scientific and Cultural Organization</b:Institution>
    <b:URL>http://unesdoc.unesco.org/images/0023/002311/231101E.pdf</b:URL>
    <b:RefOrder>11</b:RefOrder>
  </b:Source>
  <b:Source>
    <b:Tag>Nat03</b:Tag>
    <b:SourceType>InternetSite</b:SourceType>
    <b:Guid>{E72ABBEE-5281-4152-82D7-3C0EE4D2A774}</b:Guid>
    <b:Author>
      <b:Author>
        <b:Corporate>National Health and Medical Research Council</b:Corporate>
      </b:Author>
    </b:Author>
    <b:Title>Values and ethics: guidelines for ethical conduct in Aboriginal and Torres Strait Islander health research</b:Title>
    <b:InternetSiteTitle>National Health and Medical Research Council Web site</b:InternetSiteTitle>
    <b:URL>https://www.nhmrc.gov.au/file/9106/download?token=ag3509K2</b:URL>
    <b:Year>2003</b:Year>
    <b:RefOrder>12</b:RefOrder>
  </b:Source>
  <b:Source>
    <b:Tag>Wor13</b:Tag>
    <b:SourceType>DocumentFromInternetSite</b:SourceType>
    <b:Guid>{649DA304-3BB0-48D4-81D5-BC45082E41F0}</b:Guid>
    <b:Title>Global action plan for the prevention and control of NCDs 2013–2020</b:Title>
    <b:Year>2013</b:Year>
    <b:Author>
      <b:Author>
        <b:Corporate>World Health Organization</b:Corporate>
      </b:Author>
    </b:Author>
    <b:URL>http://apps.who.int/iris/bitstream/handle/10665/94384/9789241506236_eng.pdf;jsessionid=5CBB1816DF0C1FCDD05288D1E5B343AE?sequence=1</b:URL>
    <b:RefOrder>13</b:RefOrder>
  </b:Source>
  <b:Source>
    <b:Tag>Aus16</b:Tag>
    <b:SourceType>InternetSite</b:SourceType>
    <b:Guid>{C846F07B-0C5C-4C22-82AF-E655FD55E297}</b:Guid>
    <b:Author>
      <b:Author>
        <b:Corporate>Australian Institute of Health and Welfare</b:Corporate>
      </b:Author>
    </b:Author>
    <b:Title>Australia’s health 2016</b:Title>
    <b:InternetSiteTitle>Australian Institute of Health and Welfare Web site</b:InternetSiteTitle>
    <b:URL>https://www.aihw.gov.au/getmedia/9844cefb-7745-4dd8-9ee2-f4d1c3d6a727/19787-AH16.pdf.aspx?inline=true</b:URL>
    <b:Year>2016</b:Year>
    <b:RefOrder>14</b:RefOrder>
  </b:Source>
  <b:Source>
    <b:Tag>Uni09</b:Tag>
    <b:SourceType>InternetSite</b:SourceType>
    <b:Guid>{877D64B6-5D96-498E-BB62-0C023B64A170}</b:Guid>
    <b:Author>
      <b:Author>
        <b:Corporate>United Nations Department of Economic and Social Affairs</b:Corporate>
      </b:Author>
    </b:Author>
    <b:Title>State of the world’s Indigenous Peoples</b:Title>
    <b:InternetSiteTitle>United Nations Web site</b:InternetSiteTitle>
    <b:URL>https://www.un.org/development/desa/indigenouspeoples/publications/state-of-the-worlds-indigenous-peoples.html</b:URL>
    <b:Year>2009</b:Year>
    <b:RefOrder>15</b:RefOrder>
  </b:Source>
  <b:Source>
    <b:Tag>NSW16</b:Tag>
    <b:SourceType>InternetSite</b:SourceType>
    <b:Guid>{AC0319FE-25F9-46F9-B247-0913470E6907}</b:Guid>
    <b:Author>
      <b:Author>
        <b:Corporate>NSW Ministry of Health</b:Corporate>
      </b:Author>
    </b:Author>
    <b:Title>eHealth Strategy for NSW Health 2016–2026</b:Title>
    <b:InternetSiteTitle>NSW Ministry of Health Web site</b:InternetSiteTitle>
    <b:URL>https://www.health.nsw.gov.au/priorities/documents/ehealth-strategy.pdf</b:URL>
    <b:Year>2016</b:Year>
    <b:RefOrder>16</b:RefOrder>
  </b:Source>
  <b:Source>
    <b:Tag>NSW</b:Tag>
    <b:SourceType>InternetSite</b:SourceType>
    <b:Guid>{E2B54FA1-0B3A-4263-8649-556A082F3BBF}</b:Guid>
    <b:Title>NSW Aboriginal Health Impact Statement</b:Title>
    <b:Author>
      <b:Author>
        <b:Corporate>NSW Ministry of Health</b:Corporate>
      </b:Author>
    </b:Author>
    <b:InternetSiteTitle>NSW Ministry of Health Web site</b:InternetSiteTitle>
    <b:URL>https://www1.health.nsw.gov.au/pds/ActivePDSDocuments/PD2017_034.pdf</b:URL>
    <b:Year>2017</b:Year>
    <b:RefOrder>17</b:RefOrder>
  </b:Source>
  <b:Source>
    <b:Tag>NSW12</b:Tag>
    <b:SourceType>InternetSite</b:SourceType>
    <b:Guid>{5219B045-008E-481F-B46E-9D0DBFAC58F5}</b:Guid>
    <b:Author>
      <b:Author>
        <b:Corporate>NSW Ministry of Health</b:Corporate>
      </b:Author>
    </b:Author>
    <b:Title>NSW Aboriginal Health Plan 2013–2023</b:Title>
    <b:InternetSiteTitle>NSW Ministry of Health Web site</b:InternetSiteTitle>
    <b:URL>http://www.health.nsw.gov.au/aboriginal/Publications/aboriginal-health-plan-2013-2023.pdf</b:URL>
    <b:Year>2012</b:Year>
    <b:RefOrder>18</b:RefOrder>
  </b:Source>
  <b:Source>
    <b:Tag>NSW141</b:Tag>
    <b:SourceType>InternetSite</b:SourceType>
    <b:Guid>{60D609F1-9F65-4C2E-8DF2-AE5280CB8DA1}</b:Guid>
    <b:Author>
      <b:Author>
        <b:Corporate>NSW Ministry of Health</b:Corporate>
      </b:Author>
    </b:Author>
    <b:Title>NSW Rural Health Plan – Towards 2021</b:Title>
    <b:InternetSiteTitle>NSW Ministry of Health Web site</b:InternetSiteTitle>
    <b:URL>https://www.health.nsw.gov.au/regional/Publications/rural-health-plan.pdf</b:URL>
    <b:Year>2014</b:Year>
    <b:RefOrder>19</b:RefOrder>
  </b:Source>
  <b:Source>
    <b:Tag>NSW14</b:Tag>
    <b:SourceType>InternetSite</b:SourceType>
    <b:Guid>{855CEC51-D45E-4E53-A552-FB3C64885A3F}</b:Guid>
    <b:Author>
      <b:Author>
        <b:Corporate>NSW Ministry of Health</b:Corporate>
      </b:Author>
    </b:Author>
    <b:Title>NSW State Health Plan – Towards 2021</b:Title>
    <b:InternetSiteTitle>NSW Ministry of Health Web site</b:InternetSiteTitle>
    <b:URL>http://www.health.nsw.gov.au/statehealthplan/Publications/NSW-state-health-plan-towards-2021.pdf</b:URL>
    <b:Year>2014</b:Year>
    <b:RefOrder>20</b:RefOrder>
  </b:Source>
</b:Sources>
</file>

<file path=customXml/itemProps1.xml><?xml version="1.0" encoding="utf-8"?>
<ds:datastoreItem xmlns:ds="http://schemas.openxmlformats.org/officeDocument/2006/customXml" ds:itemID="{298CF937-CD95-484D-B157-650FDF0EE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and Movement Science 11–12 and Health and Movement Science Life Skills 11–12: Bibliography</vt:lpstr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and Movement Science 11–12 and Health and Movement Science Life Skills 11–12 (2023): Bibliography</dc:title>
  <dc:subject/>
  <dc:creator>NSW Education Standards Authority</dc:creator>
  <cp:keywords/>
  <dc:description/>
  <cp:lastModifiedBy>Clare Aston</cp:lastModifiedBy>
  <cp:revision>2</cp:revision>
  <cp:lastPrinted>2023-04-13T22:43:00Z</cp:lastPrinted>
  <dcterms:created xsi:type="dcterms:W3CDTF">2023-11-15T05:24:00Z</dcterms:created>
  <dcterms:modified xsi:type="dcterms:W3CDTF">2023-11-15T05:24:00Z</dcterms:modified>
</cp:coreProperties>
</file>