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1CF" w14:textId="7D812DE3" w:rsidR="00732253" w:rsidRDefault="00D77ADA" w:rsidP="00EB500E">
      <w:pPr>
        <w:pStyle w:val="Heading1"/>
      </w:pPr>
      <w:r>
        <w:t>Health and Movement Science</w:t>
      </w:r>
      <w:r w:rsidR="00806815">
        <w:t xml:space="preserve"> Stage </w:t>
      </w:r>
      <w:r w:rsidR="00D54EFF">
        <w:t>6</w:t>
      </w:r>
      <w:r w:rsidR="00E310C7">
        <w:t xml:space="preserve"> </w:t>
      </w:r>
      <w:r w:rsidR="000A4B6B" w:rsidRPr="00E17010">
        <w:t>–</w:t>
      </w:r>
      <w:r w:rsidR="000A4B6B">
        <w:t xml:space="preserve"> </w:t>
      </w:r>
      <w:r w:rsidR="00D54EFF">
        <w:t>Year</w:t>
      </w:r>
      <w:r w:rsidR="00A10043">
        <w:t xml:space="preserve"> 12 </w:t>
      </w:r>
      <w:r w:rsidR="00D10931">
        <w:t>(</w:t>
      </w:r>
      <w:r w:rsidR="00DF2A34">
        <w:t>120 hours</w:t>
      </w:r>
      <w:r w:rsidR="00D10931">
        <w:t>):</w:t>
      </w:r>
      <w:r w:rsidR="000A4B6B">
        <w:t xml:space="preserve"> </w:t>
      </w:r>
      <w:r w:rsidR="00A84017">
        <w:br/>
      </w:r>
      <w:r w:rsidR="00395528">
        <w:t xml:space="preserve">Sample scope </w:t>
      </w:r>
      <w:r w:rsidR="00806815">
        <w:t>and sequence</w:t>
      </w:r>
    </w:p>
    <w:p w14:paraId="1FB6E891" w14:textId="0C469CE0" w:rsidR="003C2E30" w:rsidRDefault="003C2E30" w:rsidP="00DF7998">
      <w:pPr>
        <w:pStyle w:val="Heading2"/>
      </w:pPr>
      <w:r>
        <w:t>Term 4</w:t>
      </w:r>
    </w:p>
    <w:tbl>
      <w:tblPr>
        <w:tblStyle w:val="NESATable"/>
        <w:tblW w:w="5000" w:type="pct"/>
        <w:tblLook w:val="01E0" w:firstRow="1" w:lastRow="1" w:firstColumn="1" w:lastColumn="1" w:noHBand="0" w:noVBand="0"/>
      </w:tblPr>
      <w:tblGrid>
        <w:gridCol w:w="15446"/>
      </w:tblGrid>
      <w:tr w:rsidR="008C14A3" w:rsidRPr="00AE103C" w14:paraId="2DF68F37" w14:textId="77777777" w:rsidTr="00E66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29DD6849" w14:textId="2485A34E" w:rsidR="008C14A3" w:rsidRPr="008C14A3" w:rsidRDefault="008C14A3" w:rsidP="006B38F7">
            <w:pPr>
              <w:rPr>
                <w:bCs/>
              </w:rPr>
            </w:pPr>
            <w:bookmarkStart w:id="0" w:name="_Hlk84422004"/>
            <w:r w:rsidRPr="008C14A3">
              <w:rPr>
                <w:bCs/>
              </w:rPr>
              <w:t>Week</w:t>
            </w:r>
            <w:r w:rsidR="009D2C64">
              <w:rPr>
                <w:bCs/>
              </w:rPr>
              <w:t>s</w:t>
            </w:r>
            <w:r w:rsidRPr="008C14A3">
              <w:rPr>
                <w:bCs/>
              </w:rPr>
              <w:t xml:space="preserve"> 1</w:t>
            </w:r>
            <w:r>
              <w:rPr>
                <w:bCs/>
              </w:rPr>
              <w:t>–</w:t>
            </w:r>
            <w:r w:rsidRPr="008C14A3">
              <w:rPr>
                <w:bCs/>
              </w:rPr>
              <w:t xml:space="preserve">10 </w:t>
            </w:r>
          </w:p>
        </w:tc>
      </w:tr>
      <w:tr w:rsidR="00134A2D" w:rsidRPr="00AE103C" w14:paraId="03325C85" w14:textId="77777777" w:rsidTr="006B38F7">
        <w:trPr>
          <w:trHeight w:val="1012"/>
        </w:trPr>
        <w:tc>
          <w:tcPr>
            <w:cnfStyle w:val="001000000000" w:firstRow="0" w:lastRow="0" w:firstColumn="1" w:lastColumn="0" w:oddVBand="0" w:evenVBand="0" w:oddHBand="0" w:evenHBand="0" w:firstRowFirstColumn="0" w:firstRowLastColumn="0" w:lastRowFirstColumn="0" w:lastRowLastColumn="0"/>
            <w:tcW w:w="5000" w:type="pct"/>
          </w:tcPr>
          <w:p w14:paraId="73DE0A1A" w14:textId="198C226E" w:rsidR="00134A2D" w:rsidRPr="00216301" w:rsidRDefault="3B0BE050" w:rsidP="006B38F7">
            <w:r w:rsidRPr="006B38F7">
              <w:rPr>
                <w:b/>
              </w:rPr>
              <w:t>Focus area(s):</w:t>
            </w:r>
            <w:r w:rsidRPr="6A2976B4">
              <w:rPr>
                <w:bCs/>
              </w:rPr>
              <w:t xml:space="preserve"> </w:t>
            </w:r>
            <w:r w:rsidR="00DC144E">
              <w:rPr>
                <w:bCs/>
              </w:rPr>
              <w:t>Health in an Australian and global context</w:t>
            </w:r>
          </w:p>
          <w:p w14:paraId="1D954986" w14:textId="304456B4" w:rsidR="00134A2D" w:rsidRPr="00AE103C" w:rsidRDefault="00093762" w:rsidP="00093762">
            <w:pPr>
              <w:tabs>
                <w:tab w:val="left" w:pos="1843"/>
              </w:tabs>
              <w:rPr>
                <w:rFonts w:cs="Arial"/>
                <w:szCs w:val="20"/>
              </w:rPr>
            </w:pPr>
            <w:r>
              <w:t xml:space="preserve">Students explore how healthy Australians are by comparing the health status of Australians within and across population groups. They evaluate the health status of Australians relative to other Organisation for Economic Co-operation and Development (OECD) countries and draw conclusions </w:t>
            </w:r>
            <w:r w:rsidRPr="00A42EE8">
              <w:t>that could be applied to enhance the health of Australians.</w:t>
            </w:r>
            <w:r>
              <w:t xml:space="preserve"> Students examine major chronic conditions, diseases and injury, and the impact these conditions can have on the healthcare system. They explore the impact of a growing and ageing population. Students evaluate the healthcare system in Australia and explore the roles government and non-government organisations play in improving health. Students investigate changes and challenges to the health system, including the impact of emerging technologies and treatments, digital health and big data. Students investigate actions needed to promote and improve the health of Australians by investigating how the</w:t>
            </w:r>
            <w:r w:rsidR="00DF7998">
              <w:t xml:space="preserve"> United Nations Sustainable </w:t>
            </w:r>
            <w:proofErr w:type="gramStart"/>
            <w:r w:rsidR="00DF7998">
              <w:t xml:space="preserve">Goals </w:t>
            </w:r>
            <w:r>
              <w:t xml:space="preserve"> </w:t>
            </w:r>
            <w:r w:rsidR="00DF7998">
              <w:t>(</w:t>
            </w:r>
            <w:proofErr w:type="gramEnd"/>
            <w:r>
              <w:t>SDGs</w:t>
            </w:r>
            <w:r w:rsidR="00DF7998">
              <w:t>)</w:t>
            </w:r>
            <w:r>
              <w:t>can inform strategies to improve the health status of a community</w:t>
            </w:r>
            <w:r>
              <w:rPr>
                <w:b/>
              </w:rPr>
              <w:t>.</w:t>
            </w:r>
          </w:p>
        </w:tc>
      </w:tr>
      <w:tr w:rsidR="0088757A" w:rsidRPr="00AE103C" w14:paraId="0938253F" w14:textId="77777777" w:rsidTr="00FF61FB">
        <w:trPr>
          <w:trHeight w:val="935"/>
        </w:trPr>
        <w:tc>
          <w:tcPr>
            <w:cnfStyle w:val="001000000000" w:firstRow="0" w:lastRow="0" w:firstColumn="1" w:lastColumn="0" w:oddVBand="0" w:evenVBand="0" w:oddHBand="0" w:evenHBand="0" w:firstRowFirstColumn="0" w:firstRowLastColumn="0" w:lastRowFirstColumn="0" w:lastRowLastColumn="0"/>
            <w:tcW w:w="5000" w:type="pct"/>
          </w:tcPr>
          <w:p w14:paraId="0ED7D5F7" w14:textId="30FE8FBE" w:rsidR="0088757A" w:rsidRPr="6A2976B4" w:rsidRDefault="0088757A" w:rsidP="006B38F7">
            <w:pPr>
              <w:rPr>
                <w:bCs/>
              </w:rPr>
            </w:pPr>
            <w:r w:rsidRPr="006B38F7">
              <w:rPr>
                <w:b/>
                <w:szCs w:val="20"/>
              </w:rPr>
              <w:t xml:space="preserve">Assessment </w:t>
            </w:r>
            <w:r w:rsidR="00A436E9" w:rsidRPr="006B38F7">
              <w:rPr>
                <w:b/>
                <w:szCs w:val="20"/>
              </w:rPr>
              <w:t>t</w:t>
            </w:r>
            <w:r w:rsidRPr="006B38F7">
              <w:rPr>
                <w:b/>
                <w:szCs w:val="20"/>
              </w:rPr>
              <w:t>ask:</w:t>
            </w:r>
            <w:r>
              <w:rPr>
                <w:bCs/>
                <w:szCs w:val="20"/>
              </w:rPr>
              <w:t xml:space="preserve"> </w:t>
            </w:r>
            <w:r w:rsidR="009A61F0" w:rsidRPr="002A2AB3">
              <w:rPr>
                <w:i/>
                <w:iCs/>
                <w:szCs w:val="20"/>
              </w:rPr>
              <w:t>A space for identifying assessment tasks and activities – optional</w:t>
            </w:r>
          </w:p>
        </w:tc>
      </w:tr>
      <w:tr w:rsidR="00134A2D" w:rsidRPr="00AE103C" w14:paraId="44AF534C" w14:textId="77777777" w:rsidTr="00F530BA">
        <w:trPr>
          <w:trHeight w:val="522"/>
        </w:trPr>
        <w:tc>
          <w:tcPr>
            <w:cnfStyle w:val="001000000000" w:firstRow="0" w:lastRow="0" w:firstColumn="1" w:lastColumn="0" w:oddVBand="0" w:evenVBand="0" w:oddHBand="0" w:evenHBand="0" w:firstRowFirstColumn="0" w:firstRowLastColumn="0" w:lastRowFirstColumn="0" w:lastRowLastColumn="0"/>
            <w:tcW w:w="5000" w:type="pct"/>
          </w:tcPr>
          <w:p w14:paraId="1CFD39D5" w14:textId="77777777" w:rsidR="0007628C" w:rsidRDefault="00AC23B1" w:rsidP="00FF61FB">
            <w:pPr>
              <w:spacing w:after="0"/>
            </w:pPr>
            <w:r>
              <w:rPr>
                <w:b/>
                <w:bCs/>
              </w:rPr>
              <w:t>Outcomes</w:t>
            </w:r>
            <w:r w:rsidR="006B38F7" w:rsidRPr="006B38F7">
              <w:rPr>
                <w:b/>
                <w:bCs/>
              </w:rPr>
              <w:t>:</w:t>
            </w:r>
            <w:r w:rsidR="006B38F7">
              <w:t xml:space="preserve"> </w:t>
            </w:r>
            <w:r w:rsidR="00093762">
              <w:t>HM</w:t>
            </w:r>
            <w:r w:rsidR="004D71DE">
              <w:t>-</w:t>
            </w:r>
            <w:r w:rsidR="00093762">
              <w:t>12-</w:t>
            </w:r>
            <w:r w:rsidR="004D71DE">
              <w:t>0</w:t>
            </w:r>
            <w:r w:rsidR="00093762">
              <w:t>1, HM</w:t>
            </w:r>
            <w:r w:rsidR="004D71DE">
              <w:t>-</w:t>
            </w:r>
            <w:r w:rsidR="00093762">
              <w:t>12-</w:t>
            </w:r>
            <w:r w:rsidR="004D71DE">
              <w:t>0</w:t>
            </w:r>
            <w:r w:rsidR="00093762">
              <w:t>2, HM</w:t>
            </w:r>
            <w:r w:rsidR="004D71DE">
              <w:t>-</w:t>
            </w:r>
            <w:r w:rsidR="00093762">
              <w:t>12-</w:t>
            </w:r>
            <w:r w:rsidR="004D71DE">
              <w:t>0</w:t>
            </w:r>
            <w:r w:rsidR="00093762">
              <w:t>3, HM</w:t>
            </w:r>
            <w:r w:rsidR="004D71DE">
              <w:t>-</w:t>
            </w:r>
            <w:r w:rsidR="00093762">
              <w:t>12-</w:t>
            </w:r>
            <w:r w:rsidR="004D71DE">
              <w:t>0</w:t>
            </w:r>
            <w:r w:rsidR="00093762">
              <w:t>6, HM</w:t>
            </w:r>
            <w:r w:rsidR="004D71DE">
              <w:t>-</w:t>
            </w:r>
            <w:r w:rsidR="00093762">
              <w:t>12-</w:t>
            </w:r>
            <w:r w:rsidR="004D71DE">
              <w:t>0</w:t>
            </w:r>
            <w:r w:rsidR="00093762">
              <w:t>7, HM</w:t>
            </w:r>
            <w:r w:rsidR="004D71DE">
              <w:t>-</w:t>
            </w:r>
            <w:r w:rsidR="00093762">
              <w:t>12-</w:t>
            </w:r>
            <w:r w:rsidR="004D71DE">
              <w:t>0</w:t>
            </w:r>
            <w:r w:rsidR="00093762">
              <w:t>8, HM</w:t>
            </w:r>
            <w:r w:rsidR="004D71DE">
              <w:t>-</w:t>
            </w:r>
            <w:r w:rsidR="00093762">
              <w:t>12-</w:t>
            </w:r>
            <w:r w:rsidR="004D71DE">
              <w:t>0</w:t>
            </w:r>
            <w:r w:rsidR="00093762">
              <w:t>9, HM</w:t>
            </w:r>
            <w:r w:rsidR="004D71DE">
              <w:t>-</w:t>
            </w:r>
            <w:r w:rsidR="00093762">
              <w:t>12-10</w:t>
            </w:r>
          </w:p>
          <w:p w14:paraId="4E844DF3" w14:textId="6C53872D" w:rsidR="00FF61FB" w:rsidRPr="008D47F7" w:rsidRDefault="00FF61FB" w:rsidP="00F530BA">
            <w:r>
              <w:rPr>
                <w:b/>
                <w:bCs/>
              </w:rPr>
              <w:t>Life Skills outcomes:</w:t>
            </w:r>
            <w:r>
              <w:t xml:space="preserve"> HM-LS-08, HM-LS-09, HM-LS-10, HM-LS-11, HM-LS-17, HM-LS-18, HM-LS-19, HM-LS-20</w:t>
            </w:r>
            <w:r w:rsidR="004A6BF5">
              <w:t>, HM-LS-21</w:t>
            </w:r>
          </w:p>
        </w:tc>
      </w:tr>
      <w:bookmarkEnd w:id="0"/>
    </w:tbl>
    <w:p w14:paraId="6174085D" w14:textId="77777777" w:rsidR="00113847" w:rsidRDefault="00113847">
      <w:pPr>
        <w:autoSpaceDE w:val="0"/>
        <w:autoSpaceDN w:val="0"/>
        <w:spacing w:after="0" w:line="240" w:lineRule="auto"/>
        <w:rPr>
          <w:b/>
          <w:bCs/>
          <w:color w:val="002664"/>
          <w:sz w:val="34"/>
          <w:szCs w:val="34"/>
        </w:rPr>
      </w:pPr>
      <w:r>
        <w:br w:type="page"/>
      </w:r>
    </w:p>
    <w:p w14:paraId="648F0CEA" w14:textId="1273042E" w:rsidR="001B5F3A" w:rsidRPr="00093762" w:rsidRDefault="009D1212" w:rsidP="00DF7998">
      <w:pPr>
        <w:pStyle w:val="Heading2"/>
      </w:pPr>
      <w:r w:rsidRPr="00774877">
        <w:lastRenderedPageBreak/>
        <w:t>Term</w:t>
      </w:r>
      <w:r>
        <w:t xml:space="preserve"> </w:t>
      </w:r>
      <w:r w:rsidR="00093762">
        <w:t>1</w:t>
      </w:r>
    </w:p>
    <w:tbl>
      <w:tblPr>
        <w:tblStyle w:val="NESATable"/>
        <w:tblW w:w="15446" w:type="dxa"/>
        <w:tblLook w:val="01E0" w:firstRow="1" w:lastRow="1" w:firstColumn="1" w:lastColumn="1" w:noHBand="0" w:noVBand="0"/>
      </w:tblPr>
      <w:tblGrid>
        <w:gridCol w:w="7650"/>
        <w:gridCol w:w="7796"/>
      </w:tblGrid>
      <w:tr w:rsidR="00451A85" w:rsidRPr="00AE103C" w14:paraId="5631EC23" w14:textId="04C2589F" w:rsidTr="00113847">
        <w:trPr>
          <w:cnfStyle w:val="100000000000" w:firstRow="1" w:lastRow="0" w:firstColumn="0" w:lastColumn="0" w:oddVBand="0" w:evenVBand="0" w:oddHBand="0" w:evenHBand="0" w:firstRowFirstColumn="0" w:firstRowLastColumn="0" w:lastRowFirstColumn="0" w:lastRowLastColumn="0"/>
          <w:cantSplit w:val="0"/>
          <w:trHeight w:val="374"/>
        </w:trPr>
        <w:tc>
          <w:tcPr>
            <w:cnfStyle w:val="001000000000" w:firstRow="0" w:lastRow="0" w:firstColumn="1" w:lastColumn="0" w:oddVBand="0" w:evenVBand="0" w:oddHBand="0" w:evenHBand="0" w:firstRowFirstColumn="0" w:firstRowLastColumn="0" w:lastRowFirstColumn="0" w:lastRowLastColumn="0"/>
            <w:tcW w:w="7650" w:type="dxa"/>
            <w:shd w:val="clear" w:color="auto" w:fill="002664"/>
          </w:tcPr>
          <w:p w14:paraId="39418D14" w14:textId="2DB09CB2" w:rsidR="00451A85" w:rsidRPr="00AE103C" w:rsidRDefault="00451A85" w:rsidP="00113847">
            <w:pPr>
              <w:pStyle w:val="Tableheading"/>
              <w:ind w:left="0"/>
              <w:rPr>
                <w:b w:val="0"/>
                <w:szCs w:val="20"/>
              </w:rPr>
            </w:pPr>
            <w:bookmarkStart w:id="1" w:name="_Hlk84422026"/>
            <w:bookmarkStart w:id="2" w:name="_Hlk84422071"/>
            <w:r>
              <w:br w:type="page"/>
              <w:t>Weeks 1–4</w:t>
            </w:r>
          </w:p>
        </w:tc>
        <w:tc>
          <w:tcPr>
            <w:tcW w:w="7796" w:type="dxa"/>
            <w:shd w:val="clear" w:color="auto" w:fill="002664"/>
          </w:tcPr>
          <w:p w14:paraId="22CE0F69" w14:textId="751098D5" w:rsidR="00451A85" w:rsidRPr="009D1212" w:rsidRDefault="00451A85" w:rsidP="00113847">
            <w:pPr>
              <w:pStyle w:val="Tableheading"/>
              <w:cnfStyle w:val="100000000000" w:firstRow="1" w:lastRow="0" w:firstColumn="0" w:lastColumn="0" w:oddVBand="0" w:evenVBand="0" w:oddHBand="0" w:evenHBand="0" w:firstRowFirstColumn="0" w:firstRowLastColumn="0" w:lastRowFirstColumn="0" w:lastRowLastColumn="0"/>
            </w:pPr>
            <w:r>
              <w:t xml:space="preserve">Weeks </w:t>
            </w:r>
            <w:bookmarkEnd w:id="1"/>
            <w:r>
              <w:t>5</w:t>
            </w:r>
            <w:r w:rsidR="004D71DE">
              <w:t>–</w:t>
            </w:r>
            <w:r>
              <w:t>10</w:t>
            </w:r>
          </w:p>
        </w:tc>
      </w:tr>
      <w:tr w:rsidR="00451A85" w:rsidRPr="00AE103C" w14:paraId="03ADF178" w14:textId="408CF482" w:rsidTr="00113847">
        <w:trPr>
          <w:cantSplit w:val="0"/>
          <w:trHeight w:val="2218"/>
        </w:trPr>
        <w:tc>
          <w:tcPr>
            <w:cnfStyle w:val="001000000000" w:firstRow="0" w:lastRow="0" w:firstColumn="1" w:lastColumn="0" w:oddVBand="0" w:evenVBand="0" w:oddHBand="0" w:evenHBand="0" w:firstRowFirstColumn="0" w:firstRowLastColumn="0" w:lastRowFirstColumn="0" w:lastRowLastColumn="0"/>
            <w:tcW w:w="7650" w:type="dxa"/>
          </w:tcPr>
          <w:p w14:paraId="543CCF02" w14:textId="1FCB73E7" w:rsidR="00451A85" w:rsidRDefault="00451A85" w:rsidP="009A61F0">
            <w:pPr>
              <w:pStyle w:val="TableParagraph"/>
              <w:spacing w:after="240"/>
              <w:rPr>
                <w:b/>
                <w:bCs/>
              </w:rPr>
            </w:pPr>
            <w:r w:rsidRPr="01FE87E9">
              <w:rPr>
                <w:b/>
                <w:bCs/>
              </w:rPr>
              <w:t xml:space="preserve">Focus area(s): </w:t>
            </w:r>
            <w:r>
              <w:rPr>
                <w:bCs/>
              </w:rPr>
              <w:t xml:space="preserve"> Health in an Australian and global context</w:t>
            </w:r>
          </w:p>
          <w:p w14:paraId="3BDE66D4" w14:textId="7D59CF59" w:rsidR="00451A85" w:rsidRDefault="00451A85" w:rsidP="00113847">
            <w:pPr>
              <w:pStyle w:val="TableParagraph"/>
              <w:rPr>
                <w:i/>
                <w:iCs/>
              </w:rPr>
            </w:pPr>
            <w:r w:rsidRPr="00035B01">
              <w:rPr>
                <w:i/>
                <w:iCs/>
              </w:rPr>
              <w:t xml:space="preserve">Continuation of content from Term </w:t>
            </w:r>
            <w:r>
              <w:rPr>
                <w:i/>
                <w:iCs/>
              </w:rPr>
              <w:t>4</w:t>
            </w:r>
          </w:p>
          <w:p w14:paraId="4AB9F480" w14:textId="77777777" w:rsidR="00451A85" w:rsidRDefault="00451A85" w:rsidP="00113847">
            <w:pPr>
              <w:pStyle w:val="TableParagraph"/>
            </w:pPr>
          </w:p>
          <w:p w14:paraId="1EB9AD64" w14:textId="30BA1969" w:rsidR="00451A85" w:rsidRPr="009A61F0" w:rsidRDefault="00451A85" w:rsidP="009A61F0">
            <w:pPr>
              <w:pStyle w:val="TableParagraph"/>
              <w:rPr>
                <w:i/>
                <w:iCs/>
              </w:rPr>
            </w:pPr>
            <w:r>
              <w:t xml:space="preserve">Students explore how healthy Australians are by comparing the health status of Australians within and across population groups. They evaluate the health status of Australians relative to other Organisation for Economic Co-operation and Development (OECD) countries and draw conclusions </w:t>
            </w:r>
            <w:r w:rsidRPr="00A42EE8">
              <w:t>that could be applied to enhance the health of Australians.</w:t>
            </w:r>
            <w:r>
              <w:t xml:space="preserve"> Students examine major chronic conditions, diseases and injury, and the impact these conditions can have on the healthcare system. They explore the impact of a growing and ageing population. Students evaluate the healthcare system in Australia and explore the roles government and non-government organisations play in improving health. Students investigate changes and challenges to the health system, including the impact of emerging technologies and treatments, digital health and big data. Students investigate actions needed to promote and improve the health of Australians by investigating how the SDGs can inform strategies to improve the health status of a community</w:t>
            </w:r>
            <w:r w:rsidR="00157751">
              <w:t>.</w:t>
            </w:r>
          </w:p>
        </w:tc>
        <w:tc>
          <w:tcPr>
            <w:tcW w:w="7796" w:type="dxa"/>
          </w:tcPr>
          <w:p w14:paraId="543D9EAF" w14:textId="4157D6C8" w:rsidR="00451A85" w:rsidRPr="00216301" w:rsidRDefault="00451A85" w:rsidP="00113847">
            <w:pPr>
              <w:pStyle w:val="TableParagraph"/>
              <w:cnfStyle w:val="000000000000" w:firstRow="0" w:lastRow="0" w:firstColumn="0" w:lastColumn="0" w:oddVBand="0" w:evenVBand="0" w:oddHBand="0" w:evenHBand="0" w:firstRowFirstColumn="0" w:firstRowLastColumn="0" w:lastRowFirstColumn="0" w:lastRowLastColumn="0"/>
            </w:pPr>
            <w:r>
              <w:rPr>
                <w:b/>
                <w:bCs/>
              </w:rPr>
              <w:t xml:space="preserve">Depth </w:t>
            </w:r>
            <w:r w:rsidR="00632CB3">
              <w:rPr>
                <w:b/>
                <w:bCs/>
              </w:rPr>
              <w:t>s</w:t>
            </w:r>
            <w:r>
              <w:rPr>
                <w:b/>
                <w:bCs/>
              </w:rPr>
              <w:t>tudy 1:</w:t>
            </w:r>
            <w:r w:rsidRPr="6A2976B4">
              <w:rPr>
                <w:b/>
                <w:bCs/>
              </w:rPr>
              <w:t xml:space="preserve"> </w:t>
            </w:r>
            <w:r>
              <w:t>Sustainability and health</w:t>
            </w:r>
          </w:p>
          <w:p w14:paraId="69733465" w14:textId="01AC3F14" w:rsidR="00451A85" w:rsidRPr="00216301" w:rsidRDefault="00451A85" w:rsidP="00113847">
            <w:pPr>
              <w:pStyle w:val="TableParagraph"/>
              <w:cnfStyle w:val="000000000000" w:firstRow="0" w:lastRow="0" w:firstColumn="0" w:lastColumn="0" w:oddVBand="0" w:evenVBand="0" w:oddHBand="0" w:evenHBand="0" w:firstRowFirstColumn="0" w:firstRowLastColumn="0" w:lastRowFirstColumn="0" w:lastRowLastColumn="0"/>
              <w:rPr>
                <w:rFonts w:cs="Arial"/>
                <w:szCs w:val="20"/>
              </w:rPr>
            </w:pPr>
            <w:r w:rsidRPr="6D8DB4B7">
              <w:rPr>
                <w:rFonts w:cs="Arial"/>
                <w:szCs w:val="20"/>
              </w:rPr>
              <w:t xml:space="preserve"> </w:t>
            </w:r>
          </w:p>
        </w:tc>
      </w:tr>
      <w:tr w:rsidR="00451A85" w:rsidRPr="00AE103C" w14:paraId="04EFC3C5" w14:textId="0D195467" w:rsidTr="004A6BF5">
        <w:trPr>
          <w:cantSplit w:val="0"/>
          <w:trHeight w:val="755"/>
        </w:trPr>
        <w:tc>
          <w:tcPr>
            <w:cnfStyle w:val="001000000000" w:firstRow="0" w:lastRow="0" w:firstColumn="1" w:lastColumn="0" w:oddVBand="0" w:evenVBand="0" w:oddHBand="0" w:evenHBand="0" w:firstRowFirstColumn="0" w:firstRowLastColumn="0" w:lastRowFirstColumn="0" w:lastRowLastColumn="0"/>
            <w:tcW w:w="7650" w:type="dxa"/>
          </w:tcPr>
          <w:p w14:paraId="1973AC16" w14:textId="2998BC1E" w:rsidR="00451A85" w:rsidRPr="000B1E3A" w:rsidRDefault="00451A85" w:rsidP="00113847">
            <w:pPr>
              <w:pStyle w:val="TableParagraph"/>
              <w:rPr>
                <w:b/>
                <w:bCs/>
                <w:szCs w:val="20"/>
              </w:rPr>
            </w:pPr>
            <w:r>
              <w:rPr>
                <w:b/>
                <w:bCs/>
                <w:szCs w:val="20"/>
              </w:rPr>
              <w:t>Assessment</w:t>
            </w:r>
            <w:r w:rsidR="00632CB3">
              <w:rPr>
                <w:b/>
                <w:bCs/>
                <w:szCs w:val="20"/>
              </w:rPr>
              <w:t xml:space="preserve"> task</w:t>
            </w:r>
            <w:r>
              <w:rPr>
                <w:b/>
                <w:bCs/>
                <w:szCs w:val="20"/>
              </w:rPr>
              <w:t xml:space="preserve">: </w:t>
            </w:r>
            <w:r w:rsidRPr="002A2AB3">
              <w:rPr>
                <w:i/>
                <w:iCs/>
                <w:szCs w:val="20"/>
              </w:rPr>
              <w:t>A space for identifying assessment tasks and activities – optional</w:t>
            </w:r>
            <w:r>
              <w:rPr>
                <w:b/>
                <w:bCs/>
                <w:szCs w:val="20"/>
              </w:rPr>
              <w:t xml:space="preserve"> </w:t>
            </w:r>
          </w:p>
        </w:tc>
        <w:tc>
          <w:tcPr>
            <w:tcW w:w="7796" w:type="dxa"/>
          </w:tcPr>
          <w:p w14:paraId="059D7720" w14:textId="0A52FE33" w:rsidR="00451A85" w:rsidRPr="000B1E3A" w:rsidRDefault="00451A85" w:rsidP="00113847">
            <w:pPr>
              <w:pStyle w:val="TableParagraph"/>
              <w:ind w:left="0"/>
              <w:cnfStyle w:val="000000000000" w:firstRow="0" w:lastRow="0" w:firstColumn="0" w:lastColumn="0" w:oddVBand="0" w:evenVBand="0" w:oddHBand="0" w:evenHBand="0" w:firstRowFirstColumn="0" w:firstRowLastColumn="0" w:lastRowFirstColumn="0" w:lastRowLastColumn="0"/>
            </w:pPr>
            <w:r w:rsidRPr="005838F1">
              <w:rPr>
                <w:b/>
                <w:bCs/>
                <w:szCs w:val="20"/>
              </w:rPr>
              <w:t>Assessment task</w:t>
            </w:r>
            <w:r>
              <w:rPr>
                <w:b/>
                <w:bCs/>
                <w:szCs w:val="20"/>
              </w:rPr>
              <w:t xml:space="preserve">: </w:t>
            </w:r>
            <w:r w:rsidRPr="002A2AB3">
              <w:rPr>
                <w:i/>
                <w:iCs/>
                <w:szCs w:val="20"/>
              </w:rPr>
              <w:t xml:space="preserve"> A space for identifying assessment tasks and activities – optiona</w:t>
            </w:r>
            <w:r w:rsidR="00113847">
              <w:rPr>
                <w:i/>
                <w:iCs/>
                <w:szCs w:val="20"/>
              </w:rPr>
              <w:t>l</w:t>
            </w:r>
          </w:p>
        </w:tc>
      </w:tr>
      <w:tr w:rsidR="00451A85" w:rsidRPr="00AE103C" w14:paraId="6BB6E1EF" w14:textId="4AF85E3D" w:rsidTr="00F530BA">
        <w:trPr>
          <w:cantSplit w:val="0"/>
          <w:trHeight w:val="810"/>
        </w:trPr>
        <w:tc>
          <w:tcPr>
            <w:cnfStyle w:val="001000000000" w:firstRow="0" w:lastRow="0" w:firstColumn="1" w:lastColumn="0" w:oddVBand="0" w:evenVBand="0" w:oddHBand="0" w:evenHBand="0" w:firstRowFirstColumn="0" w:firstRowLastColumn="0" w:lastRowFirstColumn="0" w:lastRowLastColumn="0"/>
            <w:tcW w:w="7650" w:type="dxa"/>
          </w:tcPr>
          <w:p w14:paraId="7A098EAE" w14:textId="77777777" w:rsidR="00451A85" w:rsidRDefault="00451A85" w:rsidP="004A6BF5">
            <w:pPr>
              <w:spacing w:after="0"/>
            </w:pPr>
            <w:r>
              <w:rPr>
                <w:b/>
                <w:bCs/>
              </w:rPr>
              <w:t>Outcomes</w:t>
            </w:r>
            <w:r w:rsidRPr="006B38F7">
              <w:rPr>
                <w:b/>
                <w:bCs/>
              </w:rPr>
              <w:t>:</w:t>
            </w:r>
            <w:r>
              <w:t xml:space="preserve"> HM</w:t>
            </w:r>
            <w:r w:rsidR="004D71DE">
              <w:t>-</w:t>
            </w:r>
            <w:r>
              <w:t>12-</w:t>
            </w:r>
            <w:r w:rsidR="004D71DE">
              <w:t>0</w:t>
            </w:r>
            <w:r>
              <w:t>1, HM</w:t>
            </w:r>
            <w:r w:rsidR="004D71DE">
              <w:t>-</w:t>
            </w:r>
            <w:r>
              <w:t>12-</w:t>
            </w:r>
            <w:r w:rsidR="004D71DE">
              <w:t>0</w:t>
            </w:r>
            <w:r>
              <w:t>2, HM</w:t>
            </w:r>
            <w:r w:rsidR="004D71DE">
              <w:t>-</w:t>
            </w:r>
            <w:r>
              <w:t>12-</w:t>
            </w:r>
            <w:r w:rsidR="004D71DE">
              <w:t>0</w:t>
            </w:r>
            <w:r>
              <w:t>3, HM</w:t>
            </w:r>
            <w:r w:rsidR="004D71DE">
              <w:t>-</w:t>
            </w:r>
            <w:r>
              <w:t>12-</w:t>
            </w:r>
            <w:r w:rsidR="004D71DE">
              <w:t>0</w:t>
            </w:r>
            <w:r>
              <w:t>6, HM</w:t>
            </w:r>
            <w:r w:rsidR="004D71DE">
              <w:t>-</w:t>
            </w:r>
            <w:r>
              <w:t>12-</w:t>
            </w:r>
            <w:r w:rsidR="004D71DE">
              <w:t>0</w:t>
            </w:r>
            <w:r>
              <w:t>7, HM</w:t>
            </w:r>
            <w:r w:rsidR="004D71DE">
              <w:t>-</w:t>
            </w:r>
            <w:r>
              <w:t>12-</w:t>
            </w:r>
            <w:r w:rsidR="004D71DE">
              <w:t>0</w:t>
            </w:r>
            <w:r>
              <w:t xml:space="preserve">8, </w:t>
            </w:r>
            <w:r w:rsidR="00A84017">
              <w:br/>
            </w:r>
            <w:r>
              <w:t>HM</w:t>
            </w:r>
            <w:r w:rsidR="004D71DE">
              <w:t>-</w:t>
            </w:r>
            <w:r>
              <w:t>12-</w:t>
            </w:r>
            <w:r w:rsidR="004D71DE">
              <w:t>0</w:t>
            </w:r>
            <w:r>
              <w:t>9, HM</w:t>
            </w:r>
            <w:r w:rsidR="004D71DE">
              <w:t>-</w:t>
            </w:r>
            <w:r>
              <w:t>12-10</w:t>
            </w:r>
          </w:p>
          <w:p w14:paraId="1F543930" w14:textId="40CD6414" w:rsidR="004A6BF5" w:rsidRPr="00F530BA" w:rsidRDefault="004A6BF5" w:rsidP="00F530BA">
            <w:r>
              <w:rPr>
                <w:b/>
                <w:bCs/>
              </w:rPr>
              <w:t>Life Skills outcomes:</w:t>
            </w:r>
            <w:r>
              <w:t xml:space="preserve"> HM-LS-08, HM-LS-09, HM-LS-10, HM-LS-11, HM-LS-17, HM-LS-18, HM-LS-19, HM-LS-20, HM-LS-21</w:t>
            </w:r>
          </w:p>
        </w:tc>
        <w:tc>
          <w:tcPr>
            <w:tcW w:w="7796" w:type="dxa"/>
          </w:tcPr>
          <w:p w14:paraId="0507179A" w14:textId="77777777" w:rsidR="00451A85" w:rsidRDefault="00451A85" w:rsidP="004A6BF5">
            <w:pPr>
              <w:spacing w:after="0"/>
              <w:cnfStyle w:val="000000000000" w:firstRow="0" w:lastRow="0" w:firstColumn="0" w:lastColumn="0" w:oddVBand="0" w:evenVBand="0" w:oddHBand="0" w:evenHBand="0" w:firstRowFirstColumn="0" w:firstRowLastColumn="0" w:lastRowFirstColumn="0" w:lastRowLastColumn="0"/>
            </w:pPr>
            <w:r>
              <w:rPr>
                <w:b/>
                <w:bCs/>
              </w:rPr>
              <w:t>O</w:t>
            </w:r>
            <w:r w:rsidRPr="001B5F3A">
              <w:rPr>
                <w:b/>
                <w:bCs/>
              </w:rPr>
              <w:t>utcomes:</w:t>
            </w:r>
            <w:r>
              <w:t xml:space="preserve"> HM</w:t>
            </w:r>
            <w:r w:rsidR="004D71DE">
              <w:t>-</w:t>
            </w:r>
            <w:r>
              <w:t>12-</w:t>
            </w:r>
            <w:r w:rsidR="004D71DE">
              <w:t>0</w:t>
            </w:r>
            <w:r>
              <w:t>1, HM</w:t>
            </w:r>
            <w:r w:rsidR="004D71DE">
              <w:t>-</w:t>
            </w:r>
            <w:r>
              <w:t>12-</w:t>
            </w:r>
            <w:r w:rsidR="004D71DE">
              <w:t>0</w:t>
            </w:r>
            <w:r>
              <w:t>3, HM</w:t>
            </w:r>
            <w:r w:rsidR="004D71DE">
              <w:t>-</w:t>
            </w:r>
            <w:r>
              <w:t>12-</w:t>
            </w:r>
            <w:r w:rsidR="004D71DE">
              <w:t>0</w:t>
            </w:r>
            <w:r>
              <w:t>6, HM</w:t>
            </w:r>
            <w:r w:rsidR="004D71DE">
              <w:t>-</w:t>
            </w:r>
            <w:r>
              <w:t>12-</w:t>
            </w:r>
            <w:r w:rsidR="004D71DE">
              <w:t>0</w:t>
            </w:r>
            <w:r>
              <w:t>7, HM</w:t>
            </w:r>
            <w:r w:rsidR="004D71DE">
              <w:t>-</w:t>
            </w:r>
            <w:r>
              <w:t>12-</w:t>
            </w:r>
            <w:r w:rsidR="004D71DE">
              <w:t>0</w:t>
            </w:r>
            <w:r>
              <w:t>8, HM</w:t>
            </w:r>
            <w:r w:rsidR="004D71DE">
              <w:t>-</w:t>
            </w:r>
            <w:r>
              <w:t>12-</w:t>
            </w:r>
            <w:r w:rsidR="004D71DE">
              <w:t>0</w:t>
            </w:r>
            <w:r>
              <w:t xml:space="preserve">9, </w:t>
            </w:r>
            <w:r w:rsidR="00A84017">
              <w:br/>
            </w:r>
            <w:r>
              <w:t>HM</w:t>
            </w:r>
            <w:r w:rsidR="004D71DE">
              <w:t>-</w:t>
            </w:r>
            <w:r>
              <w:t>12-10</w:t>
            </w:r>
          </w:p>
          <w:p w14:paraId="333DFA44" w14:textId="5CE4CFFA" w:rsidR="004A6BF5" w:rsidRPr="00216301" w:rsidRDefault="004A6BF5" w:rsidP="00F530BA">
            <w:pPr>
              <w:cnfStyle w:val="000000000000" w:firstRow="0" w:lastRow="0" w:firstColumn="0" w:lastColumn="0" w:oddVBand="0" w:evenVBand="0" w:oddHBand="0" w:evenHBand="0" w:firstRowFirstColumn="0" w:firstRowLastColumn="0" w:lastRowFirstColumn="0" w:lastRowLastColumn="0"/>
            </w:pPr>
            <w:r>
              <w:rPr>
                <w:b/>
                <w:bCs/>
              </w:rPr>
              <w:t>Life Skills outcomes:</w:t>
            </w:r>
            <w:r>
              <w:t xml:space="preserve"> HM-LS-08, HM-LS-11, HM-LS-17, HM-LS-18, HM-LS-19, HM-LS-20, HM-LS-21</w:t>
            </w:r>
          </w:p>
        </w:tc>
      </w:tr>
      <w:bookmarkEnd w:id="2"/>
    </w:tbl>
    <w:p w14:paraId="41595FBE" w14:textId="77777777" w:rsidR="00113847" w:rsidRDefault="00113847">
      <w:pPr>
        <w:autoSpaceDE w:val="0"/>
        <w:autoSpaceDN w:val="0"/>
        <w:spacing w:after="0" w:line="240" w:lineRule="auto"/>
        <w:rPr>
          <w:b/>
          <w:bCs/>
          <w:color w:val="002664"/>
          <w:sz w:val="34"/>
          <w:szCs w:val="34"/>
        </w:rPr>
      </w:pPr>
      <w:r>
        <w:br w:type="page"/>
      </w:r>
    </w:p>
    <w:p w14:paraId="6FD5F9EB" w14:textId="086C6488" w:rsidR="009D1212" w:rsidRDefault="009D1212" w:rsidP="00DF7998">
      <w:pPr>
        <w:pStyle w:val="Heading2"/>
      </w:pPr>
      <w:r>
        <w:lastRenderedPageBreak/>
        <w:t xml:space="preserve">Term </w:t>
      </w:r>
      <w:r w:rsidR="006F1C6B">
        <w:t>2</w:t>
      </w:r>
    </w:p>
    <w:tbl>
      <w:tblPr>
        <w:tblStyle w:val="NESATable"/>
        <w:tblW w:w="5000" w:type="pct"/>
        <w:tblLook w:val="01E0" w:firstRow="1" w:lastRow="1" w:firstColumn="1" w:lastColumn="1" w:noHBand="0" w:noVBand="0"/>
      </w:tblPr>
      <w:tblGrid>
        <w:gridCol w:w="15446"/>
      </w:tblGrid>
      <w:tr w:rsidR="009D2C64" w14:paraId="742EDC2D" w14:textId="77777777" w:rsidTr="009D2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173BAE75" w14:textId="055E2CE8" w:rsidR="009D2C64" w:rsidRDefault="009D2C64" w:rsidP="0A72613C">
            <w:pPr>
              <w:pStyle w:val="Tableheading"/>
            </w:pPr>
            <w:r>
              <w:t>Weeks 1–10</w:t>
            </w:r>
          </w:p>
        </w:tc>
      </w:tr>
      <w:tr w:rsidR="009D2C64" w14:paraId="6927DCB0" w14:textId="77777777" w:rsidTr="009D2C64">
        <w:tc>
          <w:tcPr>
            <w:cnfStyle w:val="001000000000" w:firstRow="0" w:lastRow="0" w:firstColumn="1" w:lastColumn="0" w:oddVBand="0" w:evenVBand="0" w:oddHBand="0" w:evenHBand="0" w:firstRowFirstColumn="0" w:firstRowLastColumn="0" w:lastRowFirstColumn="0" w:lastRowLastColumn="0"/>
            <w:tcW w:w="5000" w:type="pct"/>
          </w:tcPr>
          <w:p w14:paraId="363FAF2C" w14:textId="199D766F" w:rsidR="009D2C64" w:rsidRDefault="009D2C64" w:rsidP="001B5F3A">
            <w:r w:rsidRPr="001B5F3A">
              <w:rPr>
                <w:b/>
                <w:bCs/>
              </w:rPr>
              <w:t>Focus area:</w:t>
            </w:r>
            <w:r w:rsidRPr="3A2D1AF7">
              <w:t xml:space="preserve"> </w:t>
            </w:r>
            <w:r w:rsidR="006F1C6B">
              <w:t xml:space="preserve">Training for improved performance </w:t>
            </w:r>
          </w:p>
          <w:p w14:paraId="390393C0" w14:textId="0B170584" w:rsidR="009D2C64" w:rsidRPr="008D47F7" w:rsidRDefault="006F1C6B" w:rsidP="008D47F7">
            <w:r>
              <w:t>S</w:t>
            </w:r>
            <w:r w:rsidRPr="006C0376">
              <w:t>tudents investigate the significance of training for improved performance.</w:t>
            </w:r>
            <w:r>
              <w:t xml:space="preserve"> </w:t>
            </w:r>
            <w:r w:rsidRPr="006C0376">
              <w:t xml:space="preserve">This includes recognising the importance of personalised exercise </w:t>
            </w:r>
            <w:r w:rsidRPr="007B13D6">
              <w:t>assessment</w:t>
            </w:r>
            <w:r w:rsidRPr="006C0376">
              <w:t xml:space="preserve"> and prescription</w:t>
            </w:r>
            <w:r w:rsidR="002253E2">
              <w:t>,</w:t>
            </w:r>
            <w:r>
              <w:t xml:space="preserve"> and</w:t>
            </w:r>
            <w:r w:rsidRPr="006C0376">
              <w:t xml:space="preserve"> exploring how various training types and methods can be used to positively </w:t>
            </w:r>
            <w:r>
              <w:t>affect</w:t>
            </w:r>
            <w:r w:rsidRPr="006C0376">
              <w:t xml:space="preserve"> physiological adaptations.</w:t>
            </w:r>
            <w:r>
              <w:t xml:space="preserve"> </w:t>
            </w:r>
            <w:r w:rsidRPr="006C0376">
              <w:t xml:space="preserve">Students compare training plans and programs for </w:t>
            </w:r>
            <w:r>
              <w:t xml:space="preserve">recreational or elite </w:t>
            </w:r>
            <w:r w:rsidRPr="006C0376">
              <w:t>indivi</w:t>
            </w:r>
            <w:r>
              <w:t xml:space="preserve">duals and groups, applying their </w:t>
            </w:r>
            <w:r w:rsidRPr="006C0376">
              <w:t>understanding of biomechanics, injur</w:t>
            </w:r>
            <w:r>
              <w:t>y prevention, training methods</w:t>
            </w:r>
            <w:r w:rsidRPr="006C0376">
              <w:t xml:space="preserve"> and technology to analyse how athletes</w:t>
            </w:r>
            <w:r w:rsidR="003244A1">
              <w:t>*</w:t>
            </w:r>
            <w:r w:rsidRPr="006C0376">
              <w:t xml:space="preserve"> can train for sust</w:t>
            </w:r>
            <w:r>
              <w:t>ained movement and performance</w:t>
            </w:r>
            <w:r w:rsidR="003244A1">
              <w:t xml:space="preserve">. </w:t>
            </w:r>
            <w:r>
              <w:t>Students</w:t>
            </w:r>
            <w:r w:rsidRPr="006C0376">
              <w:t xml:space="preserve"> explore the importance of nutrition</w:t>
            </w:r>
            <w:r>
              <w:t>,</w:t>
            </w:r>
            <w:r w:rsidRPr="006C0376">
              <w:t xml:space="preserve"> and how nutrition and supplementation affect an individual’s performance. </w:t>
            </w:r>
            <w:r>
              <w:t>They</w:t>
            </w:r>
            <w:r w:rsidRPr="006C0376">
              <w:t xml:space="preserve"> </w:t>
            </w:r>
            <w:r>
              <w:t>compare</w:t>
            </w:r>
            <w:r w:rsidRPr="006C0376">
              <w:t xml:space="preserve"> the dietary requirements of athletes </w:t>
            </w:r>
            <w:r>
              <w:t xml:space="preserve">from different </w:t>
            </w:r>
            <w:r w:rsidRPr="006F1C6B">
              <w:t>sports</w:t>
            </w:r>
            <w:r w:rsidRPr="006C0376">
              <w:t>.</w:t>
            </w:r>
            <w:r>
              <w:t xml:space="preserve"> </w:t>
            </w:r>
          </w:p>
        </w:tc>
      </w:tr>
      <w:tr w:rsidR="008D47F7" w14:paraId="5BB68B3F" w14:textId="77777777" w:rsidTr="00F530BA">
        <w:trPr>
          <w:trHeight w:val="1442"/>
        </w:trPr>
        <w:tc>
          <w:tcPr>
            <w:cnfStyle w:val="001000000000" w:firstRow="0" w:lastRow="0" w:firstColumn="1" w:lastColumn="0" w:oddVBand="0" w:evenVBand="0" w:oddHBand="0" w:evenHBand="0" w:firstRowFirstColumn="0" w:firstRowLastColumn="0" w:lastRowFirstColumn="0" w:lastRowLastColumn="0"/>
            <w:tcW w:w="5000" w:type="pct"/>
          </w:tcPr>
          <w:p w14:paraId="402B6460" w14:textId="7021E3EF" w:rsidR="008D47F7" w:rsidRPr="001B5F3A" w:rsidRDefault="008D47F7" w:rsidP="001B5F3A">
            <w:pPr>
              <w:rPr>
                <w:b/>
                <w:bCs/>
              </w:rPr>
            </w:pPr>
            <w:r w:rsidRPr="001B5F3A">
              <w:rPr>
                <w:rFonts w:cs="Arial"/>
                <w:b/>
                <w:bCs/>
                <w:szCs w:val="20"/>
              </w:rPr>
              <w:t>Assessment task:</w:t>
            </w:r>
            <w:r w:rsidR="009A61F0" w:rsidRPr="002A2AB3">
              <w:rPr>
                <w:i/>
                <w:iCs/>
                <w:szCs w:val="20"/>
              </w:rPr>
              <w:t xml:space="preserve"> A space for identifying assessment tasks and activities – optional</w:t>
            </w:r>
          </w:p>
        </w:tc>
      </w:tr>
      <w:tr w:rsidR="009D2C64" w14:paraId="02E08424" w14:textId="77777777" w:rsidTr="009D2C64">
        <w:tc>
          <w:tcPr>
            <w:cnfStyle w:val="001000000000" w:firstRow="0" w:lastRow="0" w:firstColumn="1" w:lastColumn="0" w:oddVBand="0" w:evenVBand="0" w:oddHBand="0" w:evenHBand="0" w:firstRowFirstColumn="0" w:firstRowLastColumn="0" w:lastRowFirstColumn="0" w:lastRowLastColumn="0"/>
            <w:tcW w:w="5000" w:type="pct"/>
          </w:tcPr>
          <w:p w14:paraId="3B151951" w14:textId="77777777" w:rsidR="009D2C64" w:rsidRDefault="009D2C64" w:rsidP="00C77EF1">
            <w:pPr>
              <w:spacing w:after="0"/>
            </w:pPr>
            <w:r>
              <w:rPr>
                <w:b/>
                <w:bCs/>
              </w:rPr>
              <w:t>Outcomes</w:t>
            </w:r>
            <w:r w:rsidRPr="001B5F3A">
              <w:rPr>
                <w:b/>
                <w:bCs/>
              </w:rPr>
              <w:t>:</w:t>
            </w:r>
            <w:r>
              <w:t xml:space="preserve"> </w:t>
            </w:r>
            <w:r w:rsidR="00F560E3">
              <w:t>HM</w:t>
            </w:r>
            <w:r w:rsidR="004D71DE">
              <w:t>-</w:t>
            </w:r>
            <w:r w:rsidR="00F560E3">
              <w:t>12-</w:t>
            </w:r>
            <w:r w:rsidR="004D71DE">
              <w:t>0</w:t>
            </w:r>
            <w:r w:rsidR="00F560E3">
              <w:t>4, HM</w:t>
            </w:r>
            <w:r w:rsidR="004D71DE">
              <w:t>-</w:t>
            </w:r>
            <w:r w:rsidR="00F560E3">
              <w:t>12-</w:t>
            </w:r>
            <w:r w:rsidR="004D71DE">
              <w:t>0</w:t>
            </w:r>
            <w:r w:rsidR="00F560E3">
              <w:t>5, HM</w:t>
            </w:r>
            <w:r w:rsidR="004D71DE">
              <w:t>-</w:t>
            </w:r>
            <w:r w:rsidR="00F560E3">
              <w:t>12-</w:t>
            </w:r>
            <w:r w:rsidR="004D71DE">
              <w:t>0</w:t>
            </w:r>
            <w:r w:rsidR="00F560E3">
              <w:t>6, HM</w:t>
            </w:r>
            <w:r w:rsidR="004D71DE">
              <w:t>-</w:t>
            </w:r>
            <w:r w:rsidR="00F560E3">
              <w:t>12-</w:t>
            </w:r>
            <w:r w:rsidR="004D71DE">
              <w:t>0</w:t>
            </w:r>
            <w:r w:rsidR="00F560E3">
              <w:t>7, HM</w:t>
            </w:r>
            <w:r w:rsidR="004D71DE">
              <w:t>-</w:t>
            </w:r>
            <w:r w:rsidR="00F560E3">
              <w:t>12-</w:t>
            </w:r>
            <w:r w:rsidR="004D71DE">
              <w:t>0</w:t>
            </w:r>
            <w:r w:rsidR="00F560E3">
              <w:t>8, HM</w:t>
            </w:r>
            <w:r w:rsidR="004D71DE">
              <w:t>-</w:t>
            </w:r>
            <w:r w:rsidR="00F560E3">
              <w:t>12-</w:t>
            </w:r>
            <w:r w:rsidR="004D71DE">
              <w:t>0</w:t>
            </w:r>
            <w:r w:rsidR="00F560E3">
              <w:t>9, HM</w:t>
            </w:r>
            <w:r w:rsidR="00157751">
              <w:t>-</w:t>
            </w:r>
            <w:r w:rsidR="00F560E3">
              <w:t>12-10</w:t>
            </w:r>
          </w:p>
          <w:p w14:paraId="231A5180" w14:textId="2576ED37" w:rsidR="00C77EF1" w:rsidRDefault="00C77EF1" w:rsidP="00F530BA">
            <w:r w:rsidRPr="00C77EF1">
              <w:rPr>
                <w:b/>
                <w:bCs/>
              </w:rPr>
              <w:t>Life Skills outcomes</w:t>
            </w:r>
            <w:r>
              <w:t>: HM-LS-12, HM-LS-13, HM-LS-14, HM-LS-15, HM-LS-17, HM-LS-18, HM-LS-19, HM-LS-20, HM-LS-21</w:t>
            </w:r>
          </w:p>
        </w:tc>
      </w:tr>
    </w:tbl>
    <w:p w14:paraId="3BEEC541" w14:textId="77D52004" w:rsidR="00113847" w:rsidRDefault="003244A1" w:rsidP="0A72613C">
      <w:pPr>
        <w:rPr>
          <w:rFonts w:cs="Arial"/>
          <w:szCs w:val="20"/>
        </w:rPr>
      </w:pPr>
      <w:r>
        <w:rPr>
          <w:rFonts w:cs="Arial"/>
          <w:szCs w:val="20"/>
        </w:rPr>
        <w:t>*</w:t>
      </w:r>
      <w:r>
        <w:t>Students may also extend their understanding to analyse modifications to training required for people with disability.</w:t>
      </w:r>
    </w:p>
    <w:p w14:paraId="1598AB60" w14:textId="77777777" w:rsidR="00113847" w:rsidRDefault="00113847">
      <w:pPr>
        <w:autoSpaceDE w:val="0"/>
        <w:autoSpaceDN w:val="0"/>
        <w:spacing w:after="0" w:line="240" w:lineRule="auto"/>
        <w:rPr>
          <w:rFonts w:cs="Arial"/>
          <w:szCs w:val="20"/>
        </w:rPr>
      </w:pPr>
      <w:r>
        <w:rPr>
          <w:rFonts w:cs="Arial"/>
          <w:szCs w:val="20"/>
        </w:rPr>
        <w:br w:type="page"/>
      </w:r>
    </w:p>
    <w:p w14:paraId="7A5FBEA6" w14:textId="1E4FF94A" w:rsidR="006F1C6B" w:rsidRPr="00093762" w:rsidRDefault="00113847" w:rsidP="00DF7998">
      <w:pPr>
        <w:pStyle w:val="Heading2"/>
      </w:pPr>
      <w:r>
        <w:lastRenderedPageBreak/>
        <w:t>Term 3</w:t>
      </w:r>
    </w:p>
    <w:tbl>
      <w:tblPr>
        <w:tblStyle w:val="NESATable"/>
        <w:tblW w:w="15446" w:type="dxa"/>
        <w:tblLook w:val="01E0" w:firstRow="1" w:lastRow="1" w:firstColumn="1" w:lastColumn="1" w:noHBand="0" w:noVBand="0"/>
      </w:tblPr>
      <w:tblGrid>
        <w:gridCol w:w="6091"/>
        <w:gridCol w:w="9355"/>
      </w:tblGrid>
      <w:tr w:rsidR="006F1C6B" w:rsidRPr="00AE103C" w14:paraId="009010AC" w14:textId="77777777" w:rsidTr="003244A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091" w:type="dxa"/>
            <w:shd w:val="clear" w:color="auto" w:fill="002664"/>
          </w:tcPr>
          <w:p w14:paraId="4621E10A" w14:textId="64ADB51E" w:rsidR="006F1C6B" w:rsidRPr="00AE103C" w:rsidRDefault="006F1C6B" w:rsidP="00113847">
            <w:pPr>
              <w:pStyle w:val="Tableheading"/>
              <w:ind w:left="0"/>
              <w:rPr>
                <w:b w:val="0"/>
                <w:szCs w:val="20"/>
              </w:rPr>
            </w:pPr>
            <w:r>
              <w:br w:type="page"/>
              <w:t>Weeks 1–</w:t>
            </w:r>
            <w:r w:rsidR="00451A85">
              <w:t>3</w:t>
            </w:r>
          </w:p>
        </w:tc>
        <w:tc>
          <w:tcPr>
            <w:tcW w:w="9355" w:type="dxa"/>
            <w:shd w:val="clear" w:color="auto" w:fill="002664"/>
          </w:tcPr>
          <w:p w14:paraId="1CC3047E" w14:textId="0EE81176" w:rsidR="006F1C6B" w:rsidRPr="009D1212" w:rsidRDefault="006F1C6B" w:rsidP="00113847">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00451A85">
              <w:t>4</w:t>
            </w:r>
            <w:r>
              <w:t>–10</w:t>
            </w:r>
          </w:p>
        </w:tc>
      </w:tr>
      <w:tr w:rsidR="006F1C6B" w:rsidRPr="00AE103C" w14:paraId="203CFD7C" w14:textId="77777777" w:rsidTr="003244A1">
        <w:trPr>
          <w:trHeight w:val="5238"/>
        </w:trPr>
        <w:tc>
          <w:tcPr>
            <w:cnfStyle w:val="001000000000" w:firstRow="0" w:lastRow="0" w:firstColumn="1" w:lastColumn="0" w:oddVBand="0" w:evenVBand="0" w:oddHBand="0" w:evenHBand="0" w:firstRowFirstColumn="0" w:firstRowLastColumn="0" w:lastRowFirstColumn="0" w:lastRowLastColumn="0"/>
            <w:tcW w:w="6091" w:type="dxa"/>
          </w:tcPr>
          <w:p w14:paraId="0CE819DF" w14:textId="448649A9" w:rsidR="00F560E3" w:rsidRDefault="00F560E3" w:rsidP="00113847">
            <w:pPr>
              <w:pStyle w:val="TableParagraph"/>
            </w:pPr>
            <w:r w:rsidRPr="001B5F3A">
              <w:rPr>
                <w:b/>
                <w:bCs/>
              </w:rPr>
              <w:t>Focus area:</w:t>
            </w:r>
            <w:r w:rsidRPr="3A2D1AF7">
              <w:t xml:space="preserve"> </w:t>
            </w:r>
            <w:r>
              <w:t xml:space="preserve">Training for improved performance </w:t>
            </w:r>
          </w:p>
          <w:p w14:paraId="6EC49F46" w14:textId="77777777" w:rsidR="00113847" w:rsidRDefault="00113847" w:rsidP="00113847">
            <w:pPr>
              <w:pStyle w:val="TableParagraph"/>
              <w:rPr>
                <w:i/>
                <w:iCs/>
              </w:rPr>
            </w:pPr>
          </w:p>
          <w:p w14:paraId="07DF9F68" w14:textId="14B3A40C" w:rsidR="00F560E3" w:rsidRDefault="00F560E3" w:rsidP="00113847">
            <w:pPr>
              <w:pStyle w:val="TableParagraph"/>
              <w:rPr>
                <w:i/>
                <w:iCs/>
              </w:rPr>
            </w:pPr>
            <w:r w:rsidRPr="00035B01">
              <w:rPr>
                <w:i/>
                <w:iCs/>
              </w:rPr>
              <w:t xml:space="preserve">Continuation of content from Term </w:t>
            </w:r>
            <w:r>
              <w:rPr>
                <w:i/>
                <w:iCs/>
              </w:rPr>
              <w:t>2</w:t>
            </w:r>
          </w:p>
          <w:p w14:paraId="1C8EEE0B" w14:textId="77777777" w:rsidR="00F560E3" w:rsidRPr="00F560E3" w:rsidRDefault="00F560E3" w:rsidP="00113847">
            <w:pPr>
              <w:pStyle w:val="TableParagraph"/>
              <w:rPr>
                <w:i/>
                <w:iCs/>
              </w:rPr>
            </w:pPr>
          </w:p>
          <w:p w14:paraId="51C55325" w14:textId="28C80746" w:rsidR="006F1C6B" w:rsidRPr="00C77EF1" w:rsidRDefault="00F560E3" w:rsidP="00C77EF1">
            <w:r>
              <w:t>S</w:t>
            </w:r>
            <w:r w:rsidRPr="006C0376">
              <w:t>tudents investigate the significance of training for improved performance.</w:t>
            </w:r>
            <w:r>
              <w:t xml:space="preserve"> </w:t>
            </w:r>
            <w:r w:rsidRPr="006C0376">
              <w:t xml:space="preserve">This includes recognising the importance of personalised exercise </w:t>
            </w:r>
            <w:r w:rsidRPr="007B13D6">
              <w:t>assessment</w:t>
            </w:r>
            <w:r w:rsidRPr="006C0376">
              <w:t xml:space="preserve"> and prescription</w:t>
            </w:r>
            <w:r w:rsidR="002253E2">
              <w:t>,</w:t>
            </w:r>
            <w:r>
              <w:t xml:space="preserve"> and</w:t>
            </w:r>
            <w:r w:rsidRPr="006C0376">
              <w:t xml:space="preserve"> exploring how various training types and methods can be used to positively </w:t>
            </w:r>
            <w:r>
              <w:t>affect</w:t>
            </w:r>
            <w:r w:rsidRPr="006C0376">
              <w:t xml:space="preserve"> physiological adaptations.</w:t>
            </w:r>
            <w:r>
              <w:t xml:space="preserve"> </w:t>
            </w:r>
            <w:r w:rsidRPr="006C0376">
              <w:t xml:space="preserve">Students compare training plans and programs for </w:t>
            </w:r>
            <w:r>
              <w:t xml:space="preserve">recreational or elite </w:t>
            </w:r>
            <w:r w:rsidRPr="006C0376">
              <w:t>indivi</w:t>
            </w:r>
            <w:r>
              <w:t xml:space="preserve">duals and groups, applying their </w:t>
            </w:r>
            <w:r w:rsidRPr="006C0376">
              <w:t>understanding of biomechanics, injur</w:t>
            </w:r>
            <w:r>
              <w:t>y prevention, training methods</w:t>
            </w:r>
            <w:r w:rsidRPr="006C0376">
              <w:t xml:space="preserve"> and technology to analyse how athletes</w:t>
            </w:r>
            <w:r w:rsidR="003244A1">
              <w:t>*</w:t>
            </w:r>
            <w:r w:rsidRPr="006C0376">
              <w:t xml:space="preserve"> can train for sust</w:t>
            </w:r>
            <w:r>
              <w:t>ained movement and performance. Students</w:t>
            </w:r>
            <w:r w:rsidRPr="006C0376">
              <w:t xml:space="preserve"> explore the importance of nutrition</w:t>
            </w:r>
            <w:r>
              <w:t>,</w:t>
            </w:r>
            <w:r w:rsidRPr="006C0376">
              <w:t xml:space="preserve"> and how nutrition and supplementation affect an individual’s performance. </w:t>
            </w:r>
            <w:r>
              <w:t>They</w:t>
            </w:r>
            <w:r w:rsidRPr="006C0376">
              <w:t xml:space="preserve"> </w:t>
            </w:r>
            <w:r>
              <w:t>compare</w:t>
            </w:r>
            <w:r w:rsidRPr="006C0376">
              <w:t xml:space="preserve"> the dietary requirements of athletes </w:t>
            </w:r>
            <w:r>
              <w:t xml:space="preserve">from different </w:t>
            </w:r>
            <w:r w:rsidRPr="006F1C6B">
              <w:t>sports</w:t>
            </w:r>
            <w:r w:rsidRPr="006C0376">
              <w:t>.</w:t>
            </w:r>
          </w:p>
        </w:tc>
        <w:tc>
          <w:tcPr>
            <w:tcW w:w="9355" w:type="dxa"/>
          </w:tcPr>
          <w:p w14:paraId="7AC2DA48" w14:textId="72DCF8BE" w:rsidR="006F1C6B" w:rsidRPr="00216301" w:rsidRDefault="006F1C6B" w:rsidP="00C77EF1">
            <w:pPr>
              <w:pStyle w:val="TableParagraph"/>
              <w:cnfStyle w:val="000000000000" w:firstRow="0" w:lastRow="0" w:firstColumn="0" w:lastColumn="0" w:oddVBand="0" w:evenVBand="0" w:oddHBand="0" w:evenHBand="0" w:firstRowFirstColumn="0" w:firstRowLastColumn="0" w:lastRowFirstColumn="0" w:lastRowLastColumn="0"/>
              <w:rPr>
                <w:rFonts w:cs="Arial"/>
                <w:szCs w:val="20"/>
              </w:rPr>
            </w:pPr>
            <w:r>
              <w:rPr>
                <w:b/>
                <w:bCs/>
              </w:rPr>
              <w:t xml:space="preserve">Depth </w:t>
            </w:r>
            <w:r w:rsidR="00632CB3">
              <w:rPr>
                <w:b/>
                <w:bCs/>
              </w:rPr>
              <w:t>s</w:t>
            </w:r>
            <w:r>
              <w:rPr>
                <w:b/>
                <w:bCs/>
              </w:rPr>
              <w:t xml:space="preserve">tudy </w:t>
            </w:r>
            <w:r w:rsidR="00451A85">
              <w:rPr>
                <w:b/>
                <w:bCs/>
              </w:rPr>
              <w:t xml:space="preserve">2: </w:t>
            </w:r>
            <w:r w:rsidR="00B06B73" w:rsidRPr="00B06B73">
              <w:t xml:space="preserve">Sports </w:t>
            </w:r>
            <w:r w:rsidR="00F530BA">
              <w:t>i</w:t>
            </w:r>
            <w:r w:rsidR="00B06B73" w:rsidRPr="00B06B73">
              <w:t>njury</w:t>
            </w:r>
          </w:p>
        </w:tc>
      </w:tr>
      <w:tr w:rsidR="006F1C6B" w:rsidRPr="00AE103C" w14:paraId="7A5F9037" w14:textId="77777777" w:rsidTr="003244A1">
        <w:trPr>
          <w:trHeight w:val="607"/>
        </w:trPr>
        <w:tc>
          <w:tcPr>
            <w:cnfStyle w:val="001000000000" w:firstRow="0" w:lastRow="0" w:firstColumn="1" w:lastColumn="0" w:oddVBand="0" w:evenVBand="0" w:oddHBand="0" w:evenHBand="0" w:firstRowFirstColumn="0" w:firstRowLastColumn="0" w:lastRowFirstColumn="0" w:lastRowLastColumn="0"/>
            <w:tcW w:w="6091" w:type="dxa"/>
          </w:tcPr>
          <w:p w14:paraId="5ED5454D" w14:textId="20842F04" w:rsidR="006F1C6B" w:rsidRPr="000B1E3A" w:rsidRDefault="006F1C6B" w:rsidP="00113847">
            <w:pPr>
              <w:pStyle w:val="TableParagraph"/>
              <w:rPr>
                <w:b/>
                <w:bCs/>
                <w:szCs w:val="20"/>
              </w:rPr>
            </w:pPr>
            <w:r>
              <w:rPr>
                <w:b/>
                <w:bCs/>
                <w:szCs w:val="20"/>
              </w:rPr>
              <w:t>Assessment</w:t>
            </w:r>
            <w:r w:rsidR="00632CB3">
              <w:rPr>
                <w:b/>
                <w:bCs/>
                <w:szCs w:val="20"/>
              </w:rPr>
              <w:t xml:space="preserve"> task</w:t>
            </w:r>
            <w:r>
              <w:rPr>
                <w:b/>
                <w:bCs/>
                <w:szCs w:val="20"/>
              </w:rPr>
              <w:t xml:space="preserve">: </w:t>
            </w:r>
            <w:r w:rsidRPr="002A2AB3">
              <w:rPr>
                <w:i/>
                <w:iCs/>
                <w:szCs w:val="20"/>
              </w:rPr>
              <w:t>A space for identifying assessment tasks and activities – optional</w:t>
            </w:r>
            <w:r>
              <w:rPr>
                <w:b/>
                <w:bCs/>
                <w:szCs w:val="20"/>
              </w:rPr>
              <w:t xml:space="preserve"> </w:t>
            </w:r>
          </w:p>
        </w:tc>
        <w:tc>
          <w:tcPr>
            <w:tcW w:w="9355" w:type="dxa"/>
          </w:tcPr>
          <w:p w14:paraId="36D09136" w14:textId="77777777" w:rsidR="006F1C6B" w:rsidRPr="000B1E3A" w:rsidRDefault="006F1C6B" w:rsidP="00113847">
            <w:pPr>
              <w:pStyle w:val="TableParagraph"/>
              <w:ind w:left="0"/>
              <w:cnfStyle w:val="000000000000" w:firstRow="0" w:lastRow="0" w:firstColumn="0" w:lastColumn="0" w:oddVBand="0" w:evenVBand="0" w:oddHBand="0" w:evenHBand="0" w:firstRowFirstColumn="0" w:firstRowLastColumn="0" w:lastRowFirstColumn="0" w:lastRowLastColumn="0"/>
            </w:pPr>
            <w:r w:rsidRPr="005838F1">
              <w:rPr>
                <w:b/>
                <w:bCs/>
                <w:szCs w:val="20"/>
              </w:rPr>
              <w:t>Assessment task</w:t>
            </w:r>
            <w:r>
              <w:rPr>
                <w:b/>
                <w:bCs/>
                <w:szCs w:val="20"/>
              </w:rPr>
              <w:t xml:space="preserve">: </w:t>
            </w:r>
            <w:r w:rsidRPr="002A2AB3">
              <w:rPr>
                <w:i/>
                <w:iCs/>
                <w:szCs w:val="20"/>
              </w:rPr>
              <w:t xml:space="preserve"> A space for identifying assessment tasks and activities – optional</w:t>
            </w:r>
            <w:r>
              <w:tab/>
            </w:r>
          </w:p>
        </w:tc>
      </w:tr>
      <w:tr w:rsidR="00781522" w:rsidRPr="00AE103C" w14:paraId="3BF47C8E" w14:textId="77777777" w:rsidTr="003244A1">
        <w:trPr>
          <w:trHeight w:val="1002"/>
        </w:trPr>
        <w:tc>
          <w:tcPr>
            <w:cnfStyle w:val="001000000000" w:firstRow="0" w:lastRow="0" w:firstColumn="1" w:lastColumn="0" w:oddVBand="0" w:evenVBand="0" w:oddHBand="0" w:evenHBand="0" w:firstRowFirstColumn="0" w:firstRowLastColumn="0" w:lastRowFirstColumn="0" w:lastRowLastColumn="0"/>
            <w:tcW w:w="6091" w:type="dxa"/>
          </w:tcPr>
          <w:p w14:paraId="0A18FB81" w14:textId="77777777" w:rsidR="00781522" w:rsidRDefault="00781522" w:rsidP="00113847">
            <w:pPr>
              <w:pStyle w:val="TableParagraph"/>
            </w:pPr>
            <w:r>
              <w:rPr>
                <w:b/>
                <w:bCs/>
                <w:szCs w:val="20"/>
              </w:rPr>
              <w:t xml:space="preserve">Outcomes: </w:t>
            </w:r>
            <w:r>
              <w:t xml:space="preserve">HM-12-04, HM-12-05, HM-12-06, HM-12-07, </w:t>
            </w:r>
            <w:r w:rsidR="00A84017">
              <w:br/>
            </w:r>
            <w:r>
              <w:t>HM-12-08, HM-12-09, HM-12-10</w:t>
            </w:r>
          </w:p>
          <w:p w14:paraId="628DD21C" w14:textId="23D30A10" w:rsidR="00C77EF1" w:rsidRDefault="00C77EF1" w:rsidP="00113847">
            <w:pPr>
              <w:pStyle w:val="TableParagraph"/>
              <w:rPr>
                <w:b/>
                <w:bCs/>
                <w:szCs w:val="20"/>
              </w:rPr>
            </w:pPr>
            <w:r w:rsidRPr="00C77EF1">
              <w:rPr>
                <w:b/>
                <w:bCs/>
              </w:rPr>
              <w:t>Life Skills outcomes</w:t>
            </w:r>
            <w:r>
              <w:t>: HM-LS-12, HM-LS-13, HM-LS-14, HM-LS-15, HM-LS-17, HM-LS-18, HM-LS-19, HM-LS-20, HM-LS-21</w:t>
            </w:r>
          </w:p>
        </w:tc>
        <w:tc>
          <w:tcPr>
            <w:tcW w:w="9355" w:type="dxa"/>
          </w:tcPr>
          <w:p w14:paraId="21F30D5A" w14:textId="77777777" w:rsidR="00781522" w:rsidRDefault="00781522" w:rsidP="00781522">
            <w:pPr>
              <w:pStyle w:val="TableParagraph"/>
              <w:tabs>
                <w:tab w:val="left" w:pos="3040"/>
              </w:tabs>
              <w:ind w:left="0"/>
              <w:cnfStyle w:val="000000000000" w:firstRow="0" w:lastRow="0" w:firstColumn="0" w:lastColumn="0" w:oddVBand="0" w:evenVBand="0" w:oddHBand="0" w:evenHBand="0" w:firstRowFirstColumn="0" w:firstRowLastColumn="0" w:lastRowFirstColumn="0" w:lastRowLastColumn="0"/>
            </w:pPr>
            <w:r>
              <w:rPr>
                <w:b/>
                <w:bCs/>
                <w:szCs w:val="20"/>
              </w:rPr>
              <w:t xml:space="preserve">Outcomes: </w:t>
            </w:r>
            <w:r>
              <w:t>HM-12-02, HM-12-04, HM-12-05, HM-12-06, HM-12-07, HM-12-08, HM-12-09, HM-12-10</w:t>
            </w:r>
          </w:p>
          <w:p w14:paraId="75C2599B" w14:textId="2B435CD4" w:rsidR="00C77EF1" w:rsidRPr="00C77EF1" w:rsidRDefault="00C77EF1" w:rsidP="00781522">
            <w:pPr>
              <w:pStyle w:val="TableParagraph"/>
              <w:tabs>
                <w:tab w:val="left" w:pos="3040"/>
              </w:tabs>
              <w:ind w:left="0"/>
              <w:cnfStyle w:val="000000000000" w:firstRow="0" w:lastRow="0" w:firstColumn="0" w:lastColumn="0" w:oddVBand="0" w:evenVBand="0" w:oddHBand="0" w:evenHBand="0" w:firstRowFirstColumn="0" w:firstRowLastColumn="0" w:lastRowFirstColumn="0" w:lastRowLastColumn="0"/>
              <w:rPr>
                <w:szCs w:val="20"/>
              </w:rPr>
            </w:pPr>
            <w:r>
              <w:rPr>
                <w:b/>
                <w:bCs/>
              </w:rPr>
              <w:t xml:space="preserve">Life Skills outcomes: </w:t>
            </w:r>
            <w:r>
              <w:t>HM-LS-09, HM-LS-10, HM-LS-12, HM-LS-13, HM-LS-14, HM-LS-15</w:t>
            </w:r>
            <w:r w:rsidR="00FF6910">
              <w:t>, HM-LS-17, HM-LS-18, HM-LS-19, HM-LS-20, HM-LS-21</w:t>
            </w:r>
          </w:p>
        </w:tc>
      </w:tr>
    </w:tbl>
    <w:p w14:paraId="46926CAB" w14:textId="655D1E26" w:rsidR="006F1C6B" w:rsidRPr="00F530BA" w:rsidRDefault="003244A1" w:rsidP="00FF6910">
      <w:r>
        <w:rPr>
          <w:rFonts w:cs="Arial"/>
          <w:szCs w:val="20"/>
        </w:rPr>
        <w:t>*</w:t>
      </w:r>
      <w:r>
        <w:t>Students may also extend their understanding to analyse modifications to training required for people with disability.</w:t>
      </w:r>
    </w:p>
    <w:sectPr w:rsidR="006F1C6B" w:rsidRPr="00F530BA" w:rsidSect="00113847">
      <w:headerReference w:type="even" r:id="rId11"/>
      <w:headerReference w:type="default" r:id="rId12"/>
      <w:footerReference w:type="even" r:id="rId13"/>
      <w:footerReference w:type="default" r:id="rId14"/>
      <w:headerReference w:type="first" r:id="rId15"/>
      <w:footerReference w:type="first" r:id="rId16"/>
      <w:pgSz w:w="16850" w:h="11910" w:orient="landscape"/>
      <w:pgMar w:top="1276" w:right="697" w:bottom="1134" w:left="697" w:header="0"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1AC3" w14:textId="77777777" w:rsidR="002377A6" w:rsidRDefault="002377A6">
      <w:r>
        <w:separator/>
      </w:r>
    </w:p>
  </w:endnote>
  <w:endnote w:type="continuationSeparator" w:id="0">
    <w:p w14:paraId="6A724294" w14:textId="77777777" w:rsidR="002377A6" w:rsidRDefault="002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9BD9" w14:textId="77777777" w:rsidR="00934A84" w:rsidRDefault="00934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4AC2" w14:textId="77777777" w:rsidR="00D54EFF" w:rsidRDefault="00D54EFF" w:rsidP="00113847">
    <w:pPr>
      <w:pBdr>
        <w:top w:val="single" w:sz="4" w:space="1" w:color="auto"/>
      </w:pBdr>
      <w:tabs>
        <w:tab w:val="left" w:pos="14034"/>
      </w:tabs>
      <w:spacing w:after="0"/>
      <w:rPr>
        <w:color w:val="002664"/>
        <w:w w:val="105"/>
        <w:szCs w:val="20"/>
      </w:rPr>
    </w:pPr>
  </w:p>
  <w:p w14:paraId="30A6084E" w14:textId="560EB3FD" w:rsidR="00824A9B" w:rsidRPr="005223AB" w:rsidRDefault="00D77ADA" w:rsidP="00D54EFF">
    <w:pPr>
      <w:pBdr>
        <w:top w:val="single" w:sz="4" w:space="1" w:color="auto"/>
      </w:pBdr>
      <w:tabs>
        <w:tab w:val="left" w:pos="14034"/>
      </w:tabs>
      <w:rPr>
        <w:color w:val="002664"/>
        <w:szCs w:val="20"/>
      </w:rPr>
    </w:pPr>
    <w:r>
      <w:rPr>
        <w:color w:val="002664"/>
        <w:w w:val="105"/>
        <w:szCs w:val="20"/>
      </w:rPr>
      <w:t>Health and Movement Science</w:t>
    </w:r>
    <w:r w:rsidR="00D54EFF">
      <w:rPr>
        <w:color w:val="002664"/>
        <w:w w:val="105"/>
        <w:szCs w:val="20"/>
      </w:rPr>
      <w:t xml:space="preserve"> </w:t>
    </w:r>
    <w:r w:rsidR="006B38F7">
      <w:rPr>
        <w:color w:val="002664"/>
        <w:w w:val="105"/>
        <w:szCs w:val="20"/>
      </w:rPr>
      <w:t xml:space="preserve">Stage 6 </w:t>
    </w:r>
    <w:r w:rsidR="00D54EFF" w:rsidRPr="005223AB">
      <w:rPr>
        <w:color w:val="002664"/>
        <w:w w:val="105"/>
        <w:szCs w:val="20"/>
      </w:rPr>
      <w:t>–</w:t>
    </w:r>
    <w:r w:rsidR="006B38F7">
      <w:rPr>
        <w:color w:val="002664"/>
        <w:w w:val="105"/>
        <w:szCs w:val="20"/>
      </w:rPr>
      <w:t xml:space="preserve"> Year 12</w:t>
    </w:r>
    <w:r w:rsidR="009D2C64">
      <w:rPr>
        <w:color w:val="002664"/>
        <w:w w:val="105"/>
        <w:szCs w:val="20"/>
      </w:rPr>
      <w:t xml:space="preserve"> (120 hours):</w:t>
    </w:r>
    <w:r w:rsidR="006B38F7">
      <w:rPr>
        <w:color w:val="002664"/>
        <w:w w:val="105"/>
        <w:szCs w:val="20"/>
      </w:rPr>
      <w:t xml:space="preserve"> </w:t>
    </w:r>
    <w:r w:rsidR="006B38F7" w:rsidRPr="005223AB">
      <w:rPr>
        <w:color w:val="002664"/>
        <w:w w:val="105"/>
        <w:szCs w:val="20"/>
      </w:rPr>
      <w:t xml:space="preserve">Sample </w:t>
    </w:r>
    <w:r w:rsidR="009D2C64">
      <w:rPr>
        <w:color w:val="002664"/>
        <w:w w:val="105"/>
        <w:szCs w:val="20"/>
      </w:rPr>
      <w:t>s</w:t>
    </w:r>
    <w:r w:rsidR="006B38F7" w:rsidRPr="005223AB">
      <w:rPr>
        <w:color w:val="002664"/>
        <w:w w:val="105"/>
        <w:szCs w:val="20"/>
      </w:rPr>
      <w:t xml:space="preserve">cope and </w:t>
    </w:r>
    <w:r w:rsidR="009D2C64">
      <w:rPr>
        <w:color w:val="002664"/>
        <w:w w:val="105"/>
        <w:szCs w:val="20"/>
      </w:rPr>
      <w:t>s</w:t>
    </w:r>
    <w:r w:rsidR="006B38F7" w:rsidRPr="005223AB">
      <w:rPr>
        <w:color w:val="002664"/>
        <w:w w:val="105"/>
        <w:szCs w:val="20"/>
      </w:rPr>
      <w:t>equence</w:t>
    </w:r>
    <w:r w:rsidR="00D54EFF">
      <w:rPr>
        <w:color w:val="002664"/>
        <w:w w:val="105"/>
        <w:szCs w:val="20"/>
      </w:rPr>
      <w:t xml:space="preserve"> </w:t>
    </w:r>
    <w:r w:rsidR="003167AD">
      <w:rPr>
        <w:color w:val="002664"/>
        <w:w w:val="105"/>
        <w:szCs w:val="20"/>
      </w:rPr>
      <w:tab/>
    </w:r>
    <w:r w:rsidR="00824A9B" w:rsidRPr="005223AB">
      <w:rPr>
        <w:color w:val="002664"/>
      </w:rPr>
      <w:t xml:space="preserve">Page </w:t>
    </w:r>
    <w:r w:rsidR="00824A9B" w:rsidRPr="005223AB">
      <w:rPr>
        <w:b/>
        <w:bCs/>
        <w:color w:val="002664"/>
        <w:szCs w:val="20"/>
      </w:rPr>
      <w:fldChar w:fldCharType="begin"/>
    </w:r>
    <w:r w:rsidR="00824A9B" w:rsidRPr="005223AB">
      <w:rPr>
        <w:b/>
        <w:bCs/>
        <w:color w:val="002664"/>
        <w:w w:val="102"/>
        <w:szCs w:val="20"/>
      </w:rPr>
      <w:instrText xml:space="preserve"> PAGE </w:instrText>
    </w:r>
    <w:r w:rsidR="00824A9B" w:rsidRPr="005223AB">
      <w:rPr>
        <w:b/>
        <w:bCs/>
        <w:color w:val="002664"/>
        <w:szCs w:val="20"/>
      </w:rPr>
      <w:fldChar w:fldCharType="separate"/>
    </w:r>
    <w:r w:rsidR="00CC617B" w:rsidRPr="005223AB">
      <w:rPr>
        <w:b/>
        <w:bCs/>
        <w:noProof/>
        <w:color w:val="002664"/>
        <w:w w:val="102"/>
        <w:szCs w:val="20"/>
      </w:rPr>
      <w:t>8</w:t>
    </w:r>
    <w:r w:rsidR="00824A9B" w:rsidRPr="005223AB">
      <w:rPr>
        <w:b/>
        <w:bCs/>
        <w:color w:val="002664"/>
        <w:szCs w:val="20"/>
      </w:rPr>
      <w:fldChar w:fldCharType="end"/>
    </w:r>
    <w:r w:rsidR="00824A9B" w:rsidRPr="005223AB">
      <w:rPr>
        <w:color w:val="002664"/>
      </w:rPr>
      <w:t xml:space="preserve"> of </w:t>
    </w:r>
    <w:r w:rsidR="00824A9B" w:rsidRPr="005223AB">
      <w:rPr>
        <w:b/>
        <w:bCs/>
        <w:color w:val="002664"/>
        <w:szCs w:val="20"/>
      </w:rPr>
      <w:fldChar w:fldCharType="begin"/>
    </w:r>
    <w:r w:rsidR="00824A9B" w:rsidRPr="005223AB">
      <w:rPr>
        <w:b/>
        <w:bCs/>
        <w:color w:val="002664"/>
        <w:szCs w:val="20"/>
      </w:rPr>
      <w:instrText xml:space="preserve"> NUMPAGES   \* MERGEFORMAT </w:instrText>
    </w:r>
    <w:r w:rsidR="00824A9B" w:rsidRPr="005223AB">
      <w:rPr>
        <w:b/>
        <w:bCs/>
        <w:color w:val="002664"/>
        <w:szCs w:val="20"/>
      </w:rPr>
      <w:fldChar w:fldCharType="separate"/>
    </w:r>
    <w:r w:rsidR="00CC617B" w:rsidRPr="005223AB">
      <w:rPr>
        <w:b/>
        <w:bCs/>
        <w:noProof/>
        <w:color w:val="002664"/>
        <w:szCs w:val="20"/>
      </w:rPr>
      <w:t>8</w:t>
    </w:r>
    <w:r w:rsidR="00824A9B"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827D" w14:textId="77777777" w:rsidR="00685EBB" w:rsidRDefault="00685EBB" w:rsidP="00113847">
    <w:pPr>
      <w:pBdr>
        <w:top w:val="single" w:sz="4" w:space="1" w:color="auto"/>
      </w:pBdr>
      <w:tabs>
        <w:tab w:val="left" w:pos="14034"/>
      </w:tabs>
      <w:spacing w:after="0"/>
      <w:rPr>
        <w:color w:val="002664"/>
        <w:w w:val="105"/>
        <w:szCs w:val="20"/>
      </w:rPr>
    </w:pPr>
  </w:p>
  <w:p w14:paraId="56BD59C0" w14:textId="20C30DA7" w:rsidR="00685EBB" w:rsidRPr="005223AB" w:rsidRDefault="00D77ADA" w:rsidP="00685EBB">
    <w:pPr>
      <w:pBdr>
        <w:top w:val="single" w:sz="4" w:space="1" w:color="auto"/>
      </w:pBdr>
      <w:tabs>
        <w:tab w:val="left" w:pos="14034"/>
      </w:tabs>
      <w:rPr>
        <w:color w:val="002664"/>
        <w:szCs w:val="20"/>
      </w:rPr>
    </w:pPr>
    <w:r>
      <w:rPr>
        <w:color w:val="002664"/>
        <w:w w:val="105"/>
        <w:szCs w:val="20"/>
      </w:rPr>
      <w:t>Health and Movement Science</w:t>
    </w:r>
    <w:r w:rsidR="00D54EFF">
      <w:rPr>
        <w:color w:val="002664"/>
        <w:w w:val="105"/>
        <w:szCs w:val="20"/>
      </w:rPr>
      <w:t xml:space="preserve"> </w:t>
    </w:r>
    <w:r w:rsidR="00395528">
      <w:rPr>
        <w:color w:val="002664"/>
        <w:w w:val="105"/>
        <w:szCs w:val="20"/>
      </w:rPr>
      <w:t xml:space="preserve">Stage 6 – </w:t>
    </w:r>
    <w:r w:rsidR="00D54EFF">
      <w:rPr>
        <w:color w:val="002664"/>
        <w:w w:val="105"/>
        <w:szCs w:val="20"/>
      </w:rPr>
      <w:t>Year 12</w:t>
    </w:r>
    <w:r w:rsidR="009D2C64">
      <w:rPr>
        <w:color w:val="002664"/>
        <w:w w:val="105"/>
        <w:szCs w:val="20"/>
      </w:rPr>
      <w:t xml:space="preserve"> (120 hours):</w:t>
    </w:r>
    <w:r w:rsidR="00D54EFF">
      <w:rPr>
        <w:color w:val="002664"/>
        <w:w w:val="105"/>
        <w:szCs w:val="20"/>
      </w:rPr>
      <w:t xml:space="preserve"> </w:t>
    </w:r>
    <w:r w:rsidR="00685EBB" w:rsidRPr="005223AB">
      <w:rPr>
        <w:color w:val="002664"/>
        <w:w w:val="105"/>
        <w:szCs w:val="20"/>
      </w:rPr>
      <w:t xml:space="preserve">Sample </w:t>
    </w:r>
    <w:r w:rsidR="009D2C64">
      <w:rPr>
        <w:color w:val="002664"/>
        <w:w w:val="105"/>
        <w:szCs w:val="20"/>
      </w:rPr>
      <w:t>s</w:t>
    </w:r>
    <w:r w:rsidR="00685EBB" w:rsidRPr="005223AB">
      <w:rPr>
        <w:color w:val="002664"/>
        <w:w w:val="105"/>
        <w:szCs w:val="20"/>
      </w:rPr>
      <w:t xml:space="preserve">cope and </w:t>
    </w:r>
    <w:r w:rsidR="009D2C64">
      <w:rPr>
        <w:color w:val="002664"/>
        <w:w w:val="105"/>
        <w:szCs w:val="20"/>
      </w:rPr>
      <w:t>s</w:t>
    </w:r>
    <w:r w:rsidR="00685EBB" w:rsidRPr="005223AB">
      <w:rPr>
        <w:color w:val="002664"/>
        <w:w w:val="105"/>
        <w:szCs w:val="20"/>
      </w:rPr>
      <w:t>equence</w:t>
    </w:r>
    <w:r w:rsidR="00113847">
      <w:rPr>
        <w:color w:val="002664"/>
        <w:w w:val="105"/>
        <w:szCs w:val="20"/>
      </w:rPr>
      <w:ptab w:relativeTo="margin" w:alignment="right" w:leader="none"/>
    </w:r>
    <w:r w:rsidR="00685EBB" w:rsidRPr="005223AB">
      <w:rPr>
        <w:color w:val="002664"/>
      </w:rPr>
      <w:t xml:space="preserve">Page </w:t>
    </w:r>
    <w:r w:rsidR="00685EBB" w:rsidRPr="005223AB">
      <w:rPr>
        <w:b/>
        <w:bCs/>
        <w:color w:val="002664"/>
        <w:szCs w:val="20"/>
      </w:rPr>
      <w:fldChar w:fldCharType="begin"/>
    </w:r>
    <w:r w:rsidR="00685EBB" w:rsidRPr="005223AB">
      <w:rPr>
        <w:b/>
        <w:bCs/>
        <w:color w:val="002664"/>
        <w:w w:val="102"/>
        <w:szCs w:val="20"/>
      </w:rPr>
      <w:instrText xml:space="preserve"> PAGE </w:instrText>
    </w:r>
    <w:r w:rsidR="00685EBB" w:rsidRPr="005223AB">
      <w:rPr>
        <w:b/>
        <w:bCs/>
        <w:color w:val="002664"/>
        <w:szCs w:val="20"/>
      </w:rPr>
      <w:fldChar w:fldCharType="separate"/>
    </w:r>
    <w:r w:rsidR="00685EBB">
      <w:rPr>
        <w:b/>
        <w:bCs/>
        <w:color w:val="002664"/>
        <w:szCs w:val="20"/>
      </w:rPr>
      <w:t>2</w:t>
    </w:r>
    <w:r w:rsidR="00685EBB" w:rsidRPr="005223AB">
      <w:rPr>
        <w:b/>
        <w:bCs/>
        <w:color w:val="002664"/>
        <w:szCs w:val="20"/>
      </w:rPr>
      <w:fldChar w:fldCharType="end"/>
    </w:r>
    <w:r w:rsidR="00685EBB" w:rsidRPr="005223AB">
      <w:rPr>
        <w:color w:val="002664"/>
      </w:rPr>
      <w:t xml:space="preserve"> of </w:t>
    </w:r>
    <w:r w:rsidR="00685EBB" w:rsidRPr="005223AB">
      <w:rPr>
        <w:b/>
        <w:bCs/>
        <w:color w:val="002664"/>
        <w:szCs w:val="20"/>
      </w:rPr>
      <w:fldChar w:fldCharType="begin"/>
    </w:r>
    <w:r w:rsidR="00685EBB" w:rsidRPr="005223AB">
      <w:rPr>
        <w:b/>
        <w:bCs/>
        <w:color w:val="002664"/>
        <w:szCs w:val="20"/>
      </w:rPr>
      <w:instrText xml:space="preserve"> NUMPAGES   \* MERGEFORMAT </w:instrText>
    </w:r>
    <w:r w:rsidR="00685EBB" w:rsidRPr="005223AB">
      <w:rPr>
        <w:b/>
        <w:bCs/>
        <w:color w:val="002664"/>
        <w:szCs w:val="20"/>
      </w:rPr>
      <w:fldChar w:fldCharType="separate"/>
    </w:r>
    <w:r w:rsidR="00685EBB">
      <w:rPr>
        <w:b/>
        <w:bCs/>
        <w:color w:val="002664"/>
        <w:szCs w:val="20"/>
      </w:rPr>
      <w:t>4</w:t>
    </w:r>
    <w:r w:rsidR="00685EBB"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B49E" w14:textId="77777777" w:rsidR="002377A6" w:rsidRDefault="002377A6">
      <w:r>
        <w:separator/>
      </w:r>
    </w:p>
  </w:footnote>
  <w:footnote w:type="continuationSeparator" w:id="0">
    <w:p w14:paraId="6CCB984E" w14:textId="77777777" w:rsidR="002377A6" w:rsidRDefault="0023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C544" w14:textId="77777777" w:rsidR="00934A84" w:rsidRDefault="0093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8A38" w14:textId="77777777" w:rsidR="00934A84" w:rsidRDefault="0093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6E1A" w14:textId="77777777" w:rsidR="005223AB" w:rsidRDefault="005223AB" w:rsidP="005223AB">
    <w:pPr>
      <w:pStyle w:val="Organisationname"/>
    </w:pPr>
    <w:r>
      <w:rPr>
        <w:noProof/>
        <w:sz w:val="40"/>
        <w:szCs w:val="40"/>
        <w:lang w:eastAsia="en-AU"/>
      </w:rPr>
      <w:drawing>
        <wp:anchor distT="0" distB="0" distL="114300" distR="114300" simplePos="0" relativeHeight="251659264" behindDoc="1" locked="0" layoutInCell="1" allowOverlap="1" wp14:anchorId="3D1BA490" wp14:editId="5F01D392">
          <wp:simplePos x="0" y="0"/>
          <wp:positionH relativeFrom="margin">
            <wp:align>right</wp:align>
          </wp:positionH>
          <wp:positionV relativeFrom="paragraph">
            <wp:posOffset>294005</wp:posOffset>
          </wp:positionV>
          <wp:extent cx="819150" cy="870585"/>
          <wp:effectExtent l="0" t="0" r="0" b="5715"/>
          <wp:wrapTight wrapText="bothSides">
            <wp:wrapPolygon edited="0">
              <wp:start x="0" y="0"/>
              <wp:lineTo x="0" y="21269"/>
              <wp:lineTo x="21098" y="21269"/>
              <wp:lineTo x="21098" y="0"/>
              <wp:lineTo x="0" y="0"/>
            </wp:wrapPolygon>
          </wp:wrapTight>
          <wp:docPr id="6" name="Picture 6"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A2D19C" w14:textId="77777777" w:rsidR="005223AB" w:rsidRDefault="005223AB" w:rsidP="005223AB">
    <w:pPr>
      <w:pStyle w:val="Organisationname"/>
    </w:pPr>
  </w:p>
  <w:p w14:paraId="13501262" w14:textId="77777777" w:rsidR="005223AB" w:rsidRDefault="005223AB" w:rsidP="005223AB">
    <w:pPr>
      <w:pStyle w:val="Organisationname"/>
    </w:pPr>
    <w:bookmarkStart w:id="3" w:name="_Hlk98232889"/>
    <w:bookmarkStart w:id="4" w:name="_Hlk98232890"/>
    <w:r w:rsidRPr="00352BDE">
      <w:rPr>
        <w:color w:val="002664"/>
      </w:rPr>
      <w:t xml:space="preserve">NSW Education Standards Authority </w:t>
    </w:r>
    <w:r>
      <w:tab/>
    </w:r>
  </w:p>
  <w:bookmarkEnd w:id="3"/>
  <w:bookmarkEnd w:id="4"/>
  <w:p w14:paraId="01DE02BC" w14:textId="77777777" w:rsidR="005223AB" w:rsidRPr="000D39C4" w:rsidRDefault="005223AB" w:rsidP="00934A84">
    <w:pPr>
      <w:pBdr>
        <w:bottom w:val="single" w:sz="4" w:space="1" w:color="002664"/>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6" w15:restartNumberingAfterBreak="0">
    <w:nsid w:val="5D7B0F30"/>
    <w:multiLevelType w:val="multilevel"/>
    <w:tmpl w:val="477E2E32"/>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7" w15:restartNumberingAfterBreak="0">
    <w:nsid w:val="65AE108D"/>
    <w:multiLevelType w:val="multilevel"/>
    <w:tmpl w:val="3A3C99F2"/>
    <w:lvl w:ilvl="0">
      <w:start w:val="1"/>
      <w:numFmt w:val="bullet"/>
      <w:pStyle w:val="ListParagraph"/>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num w:numId="1" w16cid:durableId="1539775001">
    <w:abstractNumId w:val="4"/>
  </w:num>
  <w:num w:numId="2" w16cid:durableId="1608268275">
    <w:abstractNumId w:val="6"/>
  </w:num>
  <w:num w:numId="3" w16cid:durableId="1533106671">
    <w:abstractNumId w:val="2"/>
  </w:num>
  <w:num w:numId="4" w16cid:durableId="1482236671">
    <w:abstractNumId w:val="1"/>
  </w:num>
  <w:num w:numId="5" w16cid:durableId="1865744912">
    <w:abstractNumId w:val="2"/>
  </w:num>
  <w:num w:numId="6" w16cid:durableId="561020250">
    <w:abstractNumId w:val="1"/>
  </w:num>
  <w:num w:numId="7" w16cid:durableId="1188642671">
    <w:abstractNumId w:val="2"/>
  </w:num>
  <w:num w:numId="8" w16cid:durableId="1843013068">
    <w:abstractNumId w:val="6"/>
  </w:num>
  <w:num w:numId="9" w16cid:durableId="114563842">
    <w:abstractNumId w:val="6"/>
  </w:num>
  <w:num w:numId="10" w16cid:durableId="407926789">
    <w:abstractNumId w:val="6"/>
  </w:num>
  <w:num w:numId="11" w16cid:durableId="1204951079">
    <w:abstractNumId w:val="2"/>
  </w:num>
  <w:num w:numId="12" w16cid:durableId="1170098962">
    <w:abstractNumId w:val="5"/>
  </w:num>
  <w:num w:numId="13" w16cid:durableId="1744109909">
    <w:abstractNumId w:val="7"/>
  </w:num>
  <w:num w:numId="14" w16cid:durableId="1239096498">
    <w:abstractNumId w:val="5"/>
  </w:num>
  <w:num w:numId="15" w16cid:durableId="488909187">
    <w:abstractNumId w:val="7"/>
  </w:num>
  <w:num w:numId="16" w16cid:durableId="2103917878">
    <w:abstractNumId w:val="3"/>
  </w:num>
  <w:num w:numId="17" w16cid:durableId="937563244">
    <w:abstractNumId w:val="2"/>
  </w:num>
  <w:num w:numId="18" w16cid:durableId="98562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2695"/>
    <w:rsid w:val="00026260"/>
    <w:rsid w:val="00033DA9"/>
    <w:rsid w:val="00035B01"/>
    <w:rsid w:val="0007628C"/>
    <w:rsid w:val="00093762"/>
    <w:rsid w:val="000A4AB1"/>
    <w:rsid w:val="000A4B6B"/>
    <w:rsid w:val="000B1E3A"/>
    <w:rsid w:val="000D230F"/>
    <w:rsid w:val="000E5C95"/>
    <w:rsid w:val="00106959"/>
    <w:rsid w:val="00113847"/>
    <w:rsid w:val="00125736"/>
    <w:rsid w:val="00134A2D"/>
    <w:rsid w:val="00157751"/>
    <w:rsid w:val="00172BB9"/>
    <w:rsid w:val="00172FCD"/>
    <w:rsid w:val="00184543"/>
    <w:rsid w:val="00193B53"/>
    <w:rsid w:val="001B4F2D"/>
    <w:rsid w:val="001B5F3A"/>
    <w:rsid w:val="001D5529"/>
    <w:rsid w:val="00216301"/>
    <w:rsid w:val="002253E2"/>
    <w:rsid w:val="002377A6"/>
    <w:rsid w:val="00240C57"/>
    <w:rsid w:val="0025742B"/>
    <w:rsid w:val="00270265"/>
    <w:rsid w:val="00290FEE"/>
    <w:rsid w:val="00297494"/>
    <w:rsid w:val="002B7CF2"/>
    <w:rsid w:val="002E5519"/>
    <w:rsid w:val="002F2C1B"/>
    <w:rsid w:val="00306F7B"/>
    <w:rsid w:val="003167AD"/>
    <w:rsid w:val="003244A1"/>
    <w:rsid w:val="00341C5C"/>
    <w:rsid w:val="00344B30"/>
    <w:rsid w:val="00363EDC"/>
    <w:rsid w:val="00395528"/>
    <w:rsid w:val="003A78E9"/>
    <w:rsid w:val="003C2E30"/>
    <w:rsid w:val="003D6E79"/>
    <w:rsid w:val="003D737F"/>
    <w:rsid w:val="003F2F99"/>
    <w:rsid w:val="0040480B"/>
    <w:rsid w:val="00425AC2"/>
    <w:rsid w:val="00425B9F"/>
    <w:rsid w:val="00431BD9"/>
    <w:rsid w:val="004351EF"/>
    <w:rsid w:val="00445062"/>
    <w:rsid w:val="004502F8"/>
    <w:rsid w:val="00451A85"/>
    <w:rsid w:val="004549F6"/>
    <w:rsid w:val="00455983"/>
    <w:rsid w:val="004669CC"/>
    <w:rsid w:val="00467E05"/>
    <w:rsid w:val="00475389"/>
    <w:rsid w:val="00490A1F"/>
    <w:rsid w:val="004A6BF5"/>
    <w:rsid w:val="004C2AD1"/>
    <w:rsid w:val="004D437D"/>
    <w:rsid w:val="004D71DE"/>
    <w:rsid w:val="004F1443"/>
    <w:rsid w:val="004F2A66"/>
    <w:rsid w:val="005047E8"/>
    <w:rsid w:val="005223AB"/>
    <w:rsid w:val="00522DEE"/>
    <w:rsid w:val="0052748E"/>
    <w:rsid w:val="0054335B"/>
    <w:rsid w:val="00546122"/>
    <w:rsid w:val="0059301F"/>
    <w:rsid w:val="005A2117"/>
    <w:rsid w:val="005B302C"/>
    <w:rsid w:val="005B4F65"/>
    <w:rsid w:val="005B7E71"/>
    <w:rsid w:val="005C2BCD"/>
    <w:rsid w:val="006000E6"/>
    <w:rsid w:val="006024DA"/>
    <w:rsid w:val="006034C4"/>
    <w:rsid w:val="00611AFF"/>
    <w:rsid w:val="00613CA1"/>
    <w:rsid w:val="0062B788"/>
    <w:rsid w:val="00632CB3"/>
    <w:rsid w:val="0066332B"/>
    <w:rsid w:val="00685EBB"/>
    <w:rsid w:val="006A3D8E"/>
    <w:rsid w:val="006A793D"/>
    <w:rsid w:val="006B0871"/>
    <w:rsid w:val="006B38F7"/>
    <w:rsid w:val="006D6456"/>
    <w:rsid w:val="006D6616"/>
    <w:rsid w:val="006D6CF1"/>
    <w:rsid w:val="006F1C6B"/>
    <w:rsid w:val="006F4BF0"/>
    <w:rsid w:val="006F5D25"/>
    <w:rsid w:val="007141E0"/>
    <w:rsid w:val="007176B7"/>
    <w:rsid w:val="00732253"/>
    <w:rsid w:val="00735FB7"/>
    <w:rsid w:val="0077361D"/>
    <w:rsid w:val="00774877"/>
    <w:rsid w:val="00774A44"/>
    <w:rsid w:val="00777632"/>
    <w:rsid w:val="00781522"/>
    <w:rsid w:val="00787995"/>
    <w:rsid w:val="007A1631"/>
    <w:rsid w:val="00806815"/>
    <w:rsid w:val="00814830"/>
    <w:rsid w:val="00824A9B"/>
    <w:rsid w:val="0084033F"/>
    <w:rsid w:val="00852742"/>
    <w:rsid w:val="00856E39"/>
    <w:rsid w:val="008722F0"/>
    <w:rsid w:val="0088757A"/>
    <w:rsid w:val="008C14A3"/>
    <w:rsid w:val="008D0C29"/>
    <w:rsid w:val="008D47F7"/>
    <w:rsid w:val="008F2F3E"/>
    <w:rsid w:val="009006B4"/>
    <w:rsid w:val="00923A45"/>
    <w:rsid w:val="00934A84"/>
    <w:rsid w:val="009455A9"/>
    <w:rsid w:val="0097028D"/>
    <w:rsid w:val="0097386B"/>
    <w:rsid w:val="00984328"/>
    <w:rsid w:val="00984C5E"/>
    <w:rsid w:val="009A61F0"/>
    <w:rsid w:val="009B22C6"/>
    <w:rsid w:val="009B3E0D"/>
    <w:rsid w:val="009D1212"/>
    <w:rsid w:val="009D2C64"/>
    <w:rsid w:val="009F1A06"/>
    <w:rsid w:val="00A10043"/>
    <w:rsid w:val="00A30EF8"/>
    <w:rsid w:val="00A33446"/>
    <w:rsid w:val="00A436E9"/>
    <w:rsid w:val="00A54188"/>
    <w:rsid w:val="00A57AB9"/>
    <w:rsid w:val="00A84017"/>
    <w:rsid w:val="00AA4C3C"/>
    <w:rsid w:val="00AA6308"/>
    <w:rsid w:val="00AC23B1"/>
    <w:rsid w:val="00AC44DC"/>
    <w:rsid w:val="00AE04E3"/>
    <w:rsid w:val="00B06B73"/>
    <w:rsid w:val="00B07105"/>
    <w:rsid w:val="00B25213"/>
    <w:rsid w:val="00B338A0"/>
    <w:rsid w:val="00B61A0D"/>
    <w:rsid w:val="00B6418E"/>
    <w:rsid w:val="00B74DA9"/>
    <w:rsid w:val="00B80584"/>
    <w:rsid w:val="00B80630"/>
    <w:rsid w:val="00B826D9"/>
    <w:rsid w:val="00B837DB"/>
    <w:rsid w:val="00B927EC"/>
    <w:rsid w:val="00BA281D"/>
    <w:rsid w:val="00BB74A1"/>
    <w:rsid w:val="00BC22B7"/>
    <w:rsid w:val="00BC5292"/>
    <w:rsid w:val="00BD5AC7"/>
    <w:rsid w:val="00BE2E43"/>
    <w:rsid w:val="00BE7740"/>
    <w:rsid w:val="00C06127"/>
    <w:rsid w:val="00C11D05"/>
    <w:rsid w:val="00C12E75"/>
    <w:rsid w:val="00C1716A"/>
    <w:rsid w:val="00C23BD2"/>
    <w:rsid w:val="00C36591"/>
    <w:rsid w:val="00C51DE8"/>
    <w:rsid w:val="00C53B97"/>
    <w:rsid w:val="00C70059"/>
    <w:rsid w:val="00C77EF1"/>
    <w:rsid w:val="00C94985"/>
    <w:rsid w:val="00CB008E"/>
    <w:rsid w:val="00CBD9A1"/>
    <w:rsid w:val="00CC1B7D"/>
    <w:rsid w:val="00CC39C0"/>
    <w:rsid w:val="00CC617B"/>
    <w:rsid w:val="00CE4A96"/>
    <w:rsid w:val="00CF6077"/>
    <w:rsid w:val="00D042F0"/>
    <w:rsid w:val="00D10931"/>
    <w:rsid w:val="00D24255"/>
    <w:rsid w:val="00D318BC"/>
    <w:rsid w:val="00D54EFF"/>
    <w:rsid w:val="00D63454"/>
    <w:rsid w:val="00D63705"/>
    <w:rsid w:val="00D643D8"/>
    <w:rsid w:val="00D77093"/>
    <w:rsid w:val="00D77ADA"/>
    <w:rsid w:val="00DA5741"/>
    <w:rsid w:val="00DA7F03"/>
    <w:rsid w:val="00DC1174"/>
    <w:rsid w:val="00DC144E"/>
    <w:rsid w:val="00DC4313"/>
    <w:rsid w:val="00DF2A34"/>
    <w:rsid w:val="00DF7998"/>
    <w:rsid w:val="00E032F7"/>
    <w:rsid w:val="00E057DB"/>
    <w:rsid w:val="00E17010"/>
    <w:rsid w:val="00E310C7"/>
    <w:rsid w:val="00E420A1"/>
    <w:rsid w:val="00E539CE"/>
    <w:rsid w:val="00E53E7B"/>
    <w:rsid w:val="00E6000B"/>
    <w:rsid w:val="00E641CE"/>
    <w:rsid w:val="00E660A3"/>
    <w:rsid w:val="00E66ACA"/>
    <w:rsid w:val="00E709EC"/>
    <w:rsid w:val="00E7551D"/>
    <w:rsid w:val="00E82D7B"/>
    <w:rsid w:val="00E830E9"/>
    <w:rsid w:val="00E97474"/>
    <w:rsid w:val="00EB500E"/>
    <w:rsid w:val="00EB722F"/>
    <w:rsid w:val="00EB783D"/>
    <w:rsid w:val="00EC61E8"/>
    <w:rsid w:val="00ED6CF8"/>
    <w:rsid w:val="00ED7EFE"/>
    <w:rsid w:val="00F25321"/>
    <w:rsid w:val="00F31BD2"/>
    <w:rsid w:val="00F530BA"/>
    <w:rsid w:val="00F560E3"/>
    <w:rsid w:val="00F7587C"/>
    <w:rsid w:val="00FC41E4"/>
    <w:rsid w:val="00FC62EE"/>
    <w:rsid w:val="00FF58A0"/>
    <w:rsid w:val="00FF61FB"/>
    <w:rsid w:val="00FF6910"/>
    <w:rsid w:val="01FE87E9"/>
    <w:rsid w:val="031CA01F"/>
    <w:rsid w:val="04B2178C"/>
    <w:rsid w:val="058A3AAC"/>
    <w:rsid w:val="065440E1"/>
    <w:rsid w:val="0689FC38"/>
    <w:rsid w:val="0708774F"/>
    <w:rsid w:val="07C1FA65"/>
    <w:rsid w:val="07E77F1E"/>
    <w:rsid w:val="088B3D87"/>
    <w:rsid w:val="0A72613C"/>
    <w:rsid w:val="0C60DE22"/>
    <w:rsid w:val="0E39EEC1"/>
    <w:rsid w:val="0F5315B9"/>
    <w:rsid w:val="0F7F5687"/>
    <w:rsid w:val="10894C7F"/>
    <w:rsid w:val="12251CE0"/>
    <w:rsid w:val="13C0ED41"/>
    <w:rsid w:val="14EA1CB3"/>
    <w:rsid w:val="14F438C3"/>
    <w:rsid w:val="1622EA1A"/>
    <w:rsid w:val="1718A038"/>
    <w:rsid w:val="182BD985"/>
    <w:rsid w:val="18354355"/>
    <w:rsid w:val="1896A853"/>
    <w:rsid w:val="19B299CE"/>
    <w:rsid w:val="1AD660C5"/>
    <w:rsid w:val="1BF7AFAF"/>
    <w:rsid w:val="1C1BD164"/>
    <w:rsid w:val="1D63BDFE"/>
    <w:rsid w:val="1DB440C5"/>
    <w:rsid w:val="1F957A51"/>
    <w:rsid w:val="23E99937"/>
    <w:rsid w:val="24D1BDD6"/>
    <w:rsid w:val="24D6DE3D"/>
    <w:rsid w:val="266311F6"/>
    <w:rsid w:val="27FEE257"/>
    <w:rsid w:val="29CD65A7"/>
    <w:rsid w:val="2B368319"/>
    <w:rsid w:val="2D4E97EF"/>
    <w:rsid w:val="2D907B7D"/>
    <w:rsid w:val="305165BF"/>
    <w:rsid w:val="31C0D704"/>
    <w:rsid w:val="35C79C9D"/>
    <w:rsid w:val="35FB1AED"/>
    <w:rsid w:val="3A2D1AF7"/>
    <w:rsid w:val="3A5BC60C"/>
    <w:rsid w:val="3A9B0DC0"/>
    <w:rsid w:val="3B0BE050"/>
    <w:rsid w:val="41B8DA9F"/>
    <w:rsid w:val="42B0B211"/>
    <w:rsid w:val="42EAF54B"/>
    <w:rsid w:val="4354AB00"/>
    <w:rsid w:val="4486C5AC"/>
    <w:rsid w:val="46889AF4"/>
    <w:rsid w:val="4758556A"/>
    <w:rsid w:val="48246B55"/>
    <w:rsid w:val="4ADBD12C"/>
    <w:rsid w:val="4B17CCDD"/>
    <w:rsid w:val="4BCDD44B"/>
    <w:rsid w:val="505F3D43"/>
    <w:rsid w:val="52CC3BAD"/>
    <w:rsid w:val="5387415D"/>
    <w:rsid w:val="5574B691"/>
    <w:rsid w:val="564FD399"/>
    <w:rsid w:val="57EBA3FA"/>
    <w:rsid w:val="5ACB7257"/>
    <w:rsid w:val="5D4852B7"/>
    <w:rsid w:val="5D792C21"/>
    <w:rsid w:val="5F956F11"/>
    <w:rsid w:val="5FF6336D"/>
    <w:rsid w:val="61E95EEB"/>
    <w:rsid w:val="632DD42F"/>
    <w:rsid w:val="6457DC5C"/>
    <w:rsid w:val="656B15A9"/>
    <w:rsid w:val="672E9842"/>
    <w:rsid w:val="678F7D1E"/>
    <w:rsid w:val="68CA68A3"/>
    <w:rsid w:val="6A250B53"/>
    <w:rsid w:val="6A2976B4"/>
    <w:rsid w:val="6AA70BAB"/>
    <w:rsid w:val="6C6E8C95"/>
    <w:rsid w:val="6D8DB4B7"/>
    <w:rsid w:val="6E4A5D72"/>
    <w:rsid w:val="700C5737"/>
    <w:rsid w:val="7083D5B5"/>
    <w:rsid w:val="71661F6D"/>
    <w:rsid w:val="73B2C53C"/>
    <w:rsid w:val="7460761D"/>
    <w:rsid w:val="75731269"/>
    <w:rsid w:val="760A5942"/>
    <w:rsid w:val="76D9EEDC"/>
    <w:rsid w:val="76DD8145"/>
    <w:rsid w:val="76EA65FE"/>
    <w:rsid w:val="77A297D4"/>
    <w:rsid w:val="77AD8E6E"/>
    <w:rsid w:val="79F420EC"/>
    <w:rsid w:val="7A6601EC"/>
    <w:rsid w:val="7AA0EFF6"/>
    <w:rsid w:val="7B486D89"/>
    <w:rsid w:val="7C60ED5C"/>
    <w:rsid w:val="7CC3575D"/>
    <w:rsid w:val="7CCF2DD2"/>
    <w:rsid w:val="7CF2C7C5"/>
    <w:rsid w:val="7E075863"/>
    <w:rsid w:val="7E5F27BE"/>
    <w:rsid w:val="7FA9DE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38F7"/>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autoRedefine/>
    <w:uiPriority w:val="10"/>
    <w:rsid w:val="00EB500E"/>
    <w:pP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DF7998"/>
    <w:pPr>
      <w:outlineLvl w:val="1"/>
    </w:pPr>
    <w:rPr>
      <w:b/>
      <w:bCs/>
      <w:color w:val="002664"/>
      <w:sz w:val="34"/>
      <w:szCs w:val="34"/>
    </w:rPr>
  </w:style>
  <w:style w:type="paragraph" w:styleId="Heading3">
    <w:name w:val="heading 3"/>
    <w:basedOn w:val="Normal"/>
    <w:next w:val="Normal"/>
    <w:link w:val="Heading3Char"/>
    <w:autoRedefine/>
    <w:uiPriority w:val="12"/>
    <w:qFormat/>
    <w:rsid w:val="006B38F7"/>
    <w:pPr>
      <w:spacing w:before="320"/>
      <w:ind w:left="1134" w:hanging="1134"/>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6B38F7"/>
    <w:pPr>
      <w:spacing w:before="160" w:after="20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6B38F7"/>
    <w:pPr>
      <w:spacing w:after="240"/>
      <w:outlineLvl w:val="4"/>
    </w:pPr>
    <w:rPr>
      <w:sz w:val="22"/>
    </w:rPr>
  </w:style>
  <w:style w:type="paragraph" w:styleId="Heading6">
    <w:name w:val="heading 6"/>
    <w:basedOn w:val="Heading5"/>
    <w:next w:val="Normal"/>
    <w:link w:val="Heading6Char"/>
    <w:uiPriority w:val="15"/>
    <w:qFormat/>
    <w:rsid w:val="006B38F7"/>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6B38F7"/>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rsid w:val="006B38F7"/>
    <w:pPr>
      <w:spacing w:after="120"/>
    </w:pPr>
    <w:rPr>
      <w:sz w:val="22"/>
    </w:rPr>
  </w:style>
  <w:style w:type="paragraph" w:styleId="ListParagraph">
    <w:name w:val="List Paragraph"/>
    <w:basedOn w:val="Normal"/>
    <w:link w:val="ListParagraphChar"/>
    <w:autoRedefine/>
    <w:uiPriority w:val="34"/>
    <w:qFormat/>
    <w:rsid w:val="006B38F7"/>
    <w:pPr>
      <w:widowControl/>
      <w:numPr>
        <w:numId w:val="15"/>
      </w:numPr>
      <w:spacing w:after="200"/>
      <w:ind w:right="40"/>
      <w:contextualSpacing/>
    </w:pPr>
    <w:rPr>
      <w:rFonts w:eastAsia="Arial" w:cs="Arial"/>
      <w:spacing w:val="0"/>
      <w:szCs w:val="20"/>
      <w:lang w:val="en-US" w:eastAsia="en-AU"/>
    </w:rPr>
  </w:style>
  <w:style w:type="paragraph" w:customStyle="1" w:styleId="TableParagraph">
    <w:name w:val="Table Paragraph"/>
    <w:basedOn w:val="Normal"/>
    <w:uiPriority w:val="15"/>
    <w:qFormat/>
    <w:rsid w:val="006B38F7"/>
    <w:pPr>
      <w:spacing w:before="40" w:after="0"/>
      <w:ind w:left="40" w:right="40"/>
    </w:pPr>
    <w:rPr>
      <w:lang w:eastAsia="en-AU"/>
    </w:rPr>
  </w:style>
  <w:style w:type="paragraph" w:styleId="Header">
    <w:name w:val="header"/>
    <w:basedOn w:val="Normal"/>
    <w:link w:val="HeaderChar"/>
    <w:uiPriority w:val="99"/>
    <w:rsid w:val="006B38F7"/>
    <w:pPr>
      <w:tabs>
        <w:tab w:val="center" w:pos="4320"/>
        <w:tab w:val="right" w:pos="8640"/>
      </w:tabs>
    </w:pPr>
  </w:style>
  <w:style w:type="character" w:customStyle="1" w:styleId="HeaderChar">
    <w:name w:val="Header Char"/>
    <w:basedOn w:val="DefaultParagraphFont"/>
    <w:link w:val="Header"/>
    <w:uiPriority w:val="99"/>
    <w:rsid w:val="006B38F7"/>
    <w:rPr>
      <w:rFonts w:ascii="Arial" w:eastAsia="Calibri" w:hAnsi="Arial"/>
      <w:spacing w:val="-2"/>
      <w:sz w:val="20"/>
      <w:lang w:val="en-AU"/>
    </w:rPr>
  </w:style>
  <w:style w:type="paragraph" w:styleId="Footer">
    <w:name w:val="footer"/>
    <w:basedOn w:val="Normal"/>
    <w:link w:val="FooterChar"/>
    <w:uiPriority w:val="45"/>
    <w:rsid w:val="006B38F7"/>
    <w:rPr>
      <w:rFonts w:cs="Arial"/>
      <w:color w:val="002664"/>
      <w:sz w:val="18"/>
      <w:szCs w:val="20"/>
    </w:rPr>
  </w:style>
  <w:style w:type="character" w:customStyle="1" w:styleId="FooterChar">
    <w:name w:val="Footer Char"/>
    <w:basedOn w:val="DefaultParagraphFont"/>
    <w:link w:val="Footer"/>
    <w:uiPriority w:val="45"/>
    <w:rsid w:val="006B38F7"/>
    <w:rPr>
      <w:rFonts w:ascii="Arial" w:eastAsia="Calibri" w:hAnsi="Arial" w:cs="Arial"/>
      <w:color w:val="002664"/>
      <w:spacing w:val="-2"/>
      <w:sz w:val="18"/>
      <w:szCs w:val="20"/>
      <w:lang w:val="en-AU"/>
    </w:rPr>
  </w:style>
  <w:style w:type="paragraph" w:styleId="BalloonText">
    <w:name w:val="Balloon Text"/>
    <w:basedOn w:val="Normal"/>
    <w:link w:val="BalloonTextChar"/>
    <w:uiPriority w:val="99"/>
    <w:semiHidden/>
    <w:unhideWhenUsed/>
    <w:rsid w:val="006B38F7"/>
    <w:rPr>
      <w:rFonts w:ascii="Tahoma" w:hAnsi="Tahoma" w:cs="Tahoma"/>
      <w:sz w:val="16"/>
      <w:szCs w:val="16"/>
    </w:rPr>
  </w:style>
  <w:style w:type="character" w:customStyle="1" w:styleId="BalloonTextChar">
    <w:name w:val="Balloon Text Char"/>
    <w:basedOn w:val="DefaultParagraphFont"/>
    <w:link w:val="BalloonText"/>
    <w:uiPriority w:val="99"/>
    <w:semiHidden/>
    <w:rsid w:val="006B38F7"/>
    <w:rPr>
      <w:rFonts w:ascii="Tahoma" w:eastAsia="Calibri" w:hAnsi="Tahoma" w:cs="Tahoma"/>
      <w:spacing w:val="-2"/>
      <w:sz w:val="16"/>
      <w:szCs w:val="16"/>
      <w:lang w:val="en-AU"/>
    </w:rPr>
  </w:style>
  <w:style w:type="paragraph" w:styleId="NoSpacing">
    <w:name w:val="No Spacing"/>
    <w:basedOn w:val="Normal"/>
    <w:uiPriority w:val="1"/>
    <w:rsid w:val="006B38F7"/>
    <w:pPr>
      <w:spacing w:after="80"/>
    </w:pPr>
    <w:rPr>
      <w:rFonts w:cs="Arial"/>
      <w:i/>
    </w:rPr>
  </w:style>
  <w:style w:type="character" w:customStyle="1" w:styleId="BodyTextChar">
    <w:name w:val="Body Text Char"/>
    <w:basedOn w:val="DefaultParagraphFont"/>
    <w:link w:val="BodyText"/>
    <w:uiPriority w:val="1"/>
    <w:rsid w:val="006B38F7"/>
    <w:rPr>
      <w:rFonts w:ascii="Arial" w:eastAsia="Calibri" w:hAnsi="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6B38F7"/>
    <w:rPr>
      <w:sz w:val="16"/>
      <w:szCs w:val="16"/>
    </w:rPr>
  </w:style>
  <w:style w:type="paragraph" w:styleId="CommentText">
    <w:name w:val="annotation text"/>
    <w:basedOn w:val="Normal"/>
    <w:link w:val="CommentTextChar"/>
    <w:uiPriority w:val="99"/>
    <w:unhideWhenUsed/>
    <w:rsid w:val="006B38F7"/>
    <w:rPr>
      <w:szCs w:val="20"/>
    </w:rPr>
  </w:style>
  <w:style w:type="character" w:customStyle="1" w:styleId="CommentTextChar">
    <w:name w:val="Comment Text Char"/>
    <w:basedOn w:val="DefaultParagraphFont"/>
    <w:link w:val="CommentText"/>
    <w:uiPriority w:val="99"/>
    <w:rsid w:val="006B38F7"/>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6B38F7"/>
    <w:rPr>
      <w:b/>
      <w:bCs/>
    </w:rPr>
  </w:style>
  <w:style w:type="character" w:customStyle="1" w:styleId="CommentSubjectChar">
    <w:name w:val="Comment Subject Char"/>
    <w:basedOn w:val="CommentTextChar"/>
    <w:link w:val="CommentSubject"/>
    <w:uiPriority w:val="99"/>
    <w:semiHidden/>
    <w:rsid w:val="006B38F7"/>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autoRedefine/>
    <w:uiPriority w:val="49"/>
    <w:qFormat/>
    <w:rsid w:val="006B38F7"/>
    <w:rPr>
      <w:rFonts w:cs="Arial"/>
      <w:color w:val="002664"/>
      <w:szCs w:val="20"/>
    </w:rPr>
  </w:style>
  <w:style w:type="character" w:customStyle="1" w:styleId="DisclaimertextChar">
    <w:name w:val="Disclaimer text Char"/>
    <w:basedOn w:val="DefaultParagraphFont"/>
    <w:link w:val="Disclaimertext"/>
    <w:uiPriority w:val="49"/>
    <w:rsid w:val="006B38F7"/>
    <w:rPr>
      <w:rFonts w:ascii="Arial" w:eastAsia="Calibri" w:hAnsi="Arial" w:cs="Arial"/>
      <w:color w:val="002664"/>
      <w:spacing w:val="-2"/>
      <w:sz w:val="20"/>
      <w:szCs w:val="20"/>
      <w:lang w:val="en-AU"/>
    </w:rPr>
  </w:style>
  <w:style w:type="paragraph" w:styleId="DocumentMap">
    <w:name w:val="Document Map"/>
    <w:basedOn w:val="Normal"/>
    <w:link w:val="DocumentMapChar"/>
    <w:uiPriority w:val="99"/>
    <w:semiHidden/>
    <w:unhideWhenUsed/>
    <w:rsid w:val="006B38F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B38F7"/>
    <w:rPr>
      <w:rFonts w:ascii="Lucida Grande" w:eastAsia="Calibri" w:hAnsi="Lucida Grande" w:cs="Lucida Grande"/>
      <w:spacing w:val="-2"/>
      <w:sz w:val="24"/>
      <w:szCs w:val="24"/>
      <w:lang w:val="en-AU"/>
    </w:rPr>
  </w:style>
  <w:style w:type="character" w:styleId="Emphasis">
    <w:name w:val="Emphasis"/>
    <w:basedOn w:val="DefaultParagraphFont"/>
    <w:uiPriority w:val="20"/>
    <w:qFormat/>
    <w:rsid w:val="006B38F7"/>
    <w:rPr>
      <w:rFonts w:ascii="Arial" w:hAnsi="Arial"/>
      <w:i/>
      <w:iCs/>
    </w:rPr>
  </w:style>
  <w:style w:type="character" w:styleId="FollowedHyperlink">
    <w:name w:val="FollowedHyperlink"/>
    <w:basedOn w:val="DefaultParagraphFont"/>
    <w:uiPriority w:val="99"/>
    <w:semiHidden/>
    <w:unhideWhenUsed/>
    <w:rsid w:val="006B38F7"/>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6B38F7"/>
    <w:rPr>
      <w:vertAlign w:val="superscript"/>
    </w:rPr>
  </w:style>
  <w:style w:type="paragraph" w:styleId="FootnoteText">
    <w:name w:val="footnote text"/>
    <w:basedOn w:val="Normal"/>
    <w:link w:val="FootnoteTextChar"/>
    <w:uiPriority w:val="99"/>
    <w:unhideWhenUsed/>
    <w:qFormat/>
    <w:rsid w:val="006B38F7"/>
    <w:pPr>
      <w:spacing w:after="0" w:line="240" w:lineRule="auto"/>
    </w:pPr>
    <w:rPr>
      <w:szCs w:val="20"/>
    </w:rPr>
  </w:style>
  <w:style w:type="character" w:customStyle="1" w:styleId="FootnoteTextChar">
    <w:name w:val="Footnote Text Char"/>
    <w:basedOn w:val="DefaultParagraphFont"/>
    <w:link w:val="FootnoteText"/>
    <w:uiPriority w:val="99"/>
    <w:rsid w:val="006B38F7"/>
    <w:rPr>
      <w:rFonts w:ascii="Arial" w:eastAsia="Calibri" w:hAnsi="Arial"/>
      <w:spacing w:val="-2"/>
      <w:sz w:val="20"/>
      <w:szCs w:val="20"/>
      <w:lang w:val="en-AU"/>
    </w:rPr>
  </w:style>
  <w:style w:type="character" w:customStyle="1" w:styleId="Heading1Char">
    <w:name w:val="Heading 1 Char"/>
    <w:basedOn w:val="DefaultParagraphFont"/>
    <w:link w:val="Heading1"/>
    <w:uiPriority w:val="10"/>
    <w:rsid w:val="00EB500E"/>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DF7998"/>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6B38F7"/>
    <w:rPr>
      <w:rFonts w:ascii="Arial" w:eastAsia="Calibri" w:hAnsi="Arial" w:cs="Calibri"/>
      <w:b/>
      <w:bCs/>
      <w:color w:val="002664"/>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6B38F7"/>
    <w:rPr>
      <w:rFonts w:ascii="Arial" w:eastAsia="Calibri" w:hAnsi="Arial" w:cs="Calibri"/>
      <w:b/>
      <w:bCs/>
      <w:color w:val="002664"/>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6B38F7"/>
    <w:rPr>
      <w:rFonts w:ascii="Arial" w:eastAsia="Calibri" w:hAnsi="Arial" w:cs="Calibri"/>
      <w:b/>
      <w:bCs/>
      <w:color w:val="002664"/>
      <w:spacing w:val="-2"/>
      <w:szCs w:val="24"/>
    </w:rPr>
  </w:style>
  <w:style w:type="character" w:customStyle="1" w:styleId="Heading6Char">
    <w:name w:val="Heading 6 Char"/>
    <w:basedOn w:val="DefaultParagraphFont"/>
    <w:link w:val="Heading6"/>
    <w:uiPriority w:val="15"/>
    <w:rsid w:val="006B38F7"/>
    <w:rPr>
      <w:rFonts w:ascii="Arial" w:eastAsia="Calibri" w:hAnsi="Arial" w:cs="Calibri"/>
      <w:b/>
      <w:bCs/>
      <w:caps/>
      <w:color w:val="CE0037"/>
      <w:spacing w:val="-2"/>
      <w:sz w:val="16"/>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6B38F7"/>
    <w:rPr>
      <w:rFonts w:ascii="Arial" w:hAnsi="Arial"/>
      <w:color w:val="002664"/>
      <w:u w:val="single"/>
    </w:rPr>
  </w:style>
  <w:style w:type="table" w:styleId="LightShading-Accent6">
    <w:name w:val="Light Shading Accent 6"/>
    <w:basedOn w:val="TableNormal"/>
    <w:uiPriority w:val="60"/>
    <w:rsid w:val="006B38F7"/>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6B38F7"/>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rsid w:val="006B38F7"/>
    <w:pPr>
      <w:numPr>
        <w:numId w:val="17"/>
      </w:numPr>
    </w:pPr>
  </w:style>
  <w:style w:type="character" w:styleId="PageNumber">
    <w:name w:val="page number"/>
    <w:basedOn w:val="DefaultParagraphFont"/>
    <w:uiPriority w:val="99"/>
    <w:semiHidden/>
    <w:unhideWhenUsed/>
    <w:rsid w:val="006B38F7"/>
  </w:style>
  <w:style w:type="paragraph" w:styleId="Quote">
    <w:name w:val="Quote"/>
    <w:basedOn w:val="Normal"/>
    <w:next w:val="Normal"/>
    <w:link w:val="QuoteChar"/>
    <w:uiPriority w:val="29"/>
    <w:rsid w:val="006B38F7"/>
    <w:pPr>
      <w:spacing w:line="360" w:lineRule="auto"/>
    </w:pPr>
    <w:rPr>
      <w:b/>
      <w:i/>
      <w:iCs/>
      <w:color w:val="92318E"/>
    </w:rPr>
  </w:style>
  <w:style w:type="character" w:customStyle="1" w:styleId="QuoteChar">
    <w:name w:val="Quote Char"/>
    <w:basedOn w:val="DefaultParagraphFont"/>
    <w:link w:val="Quote"/>
    <w:uiPriority w:val="29"/>
    <w:rsid w:val="006B38F7"/>
    <w:rPr>
      <w:rFonts w:ascii="Arial" w:eastAsia="Calibri" w:hAnsi="Arial"/>
      <w:b/>
      <w:i/>
      <w:iCs/>
      <w:color w:val="92318E"/>
      <w:spacing w:val="-2"/>
      <w:sz w:val="20"/>
      <w:lang w:val="en-AU"/>
    </w:rPr>
  </w:style>
  <w:style w:type="paragraph" w:styleId="Subtitle">
    <w:name w:val="Subtitle"/>
    <w:basedOn w:val="Normal"/>
    <w:next w:val="Normal"/>
    <w:link w:val="SubtitleChar"/>
    <w:autoRedefine/>
    <w:uiPriority w:val="16"/>
    <w:rsid w:val="006B38F7"/>
    <w:rPr>
      <w:rFonts w:cs="Arial"/>
      <w:b/>
      <w:color w:val="002664"/>
      <w:sz w:val="52"/>
      <w:szCs w:val="52"/>
    </w:rPr>
  </w:style>
  <w:style w:type="character" w:customStyle="1" w:styleId="SubtitleChar">
    <w:name w:val="Subtitle Char"/>
    <w:basedOn w:val="DefaultParagraphFont"/>
    <w:link w:val="Subtitle"/>
    <w:uiPriority w:val="16"/>
    <w:rsid w:val="006B38F7"/>
    <w:rPr>
      <w:rFonts w:ascii="Arial" w:eastAsia="Calibri" w:hAnsi="Arial" w:cs="Arial"/>
      <w:b/>
      <w:color w:val="002664"/>
      <w:spacing w:val="-2"/>
      <w:sz w:val="52"/>
      <w:szCs w:val="52"/>
      <w:lang w:val="en-AU"/>
    </w:rPr>
  </w:style>
  <w:style w:type="table" w:styleId="TableGrid">
    <w:name w:val="Table Grid"/>
    <w:basedOn w:val="TableNormal"/>
    <w:uiPriority w:val="39"/>
    <w:rsid w:val="006B38F7"/>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rsid w:val="006B38F7"/>
    <w:pPr>
      <w:spacing w:before="4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5"/>
    <w:rsid w:val="006B38F7"/>
    <w:rPr>
      <w:rFonts w:ascii="Arial" w:eastAsia="Calibri" w:hAnsi="Arial" w:cs="Arial"/>
      <w:b w:val="0"/>
      <w:bCs/>
      <w:color w:val="FFFFFF" w:themeColor="background1"/>
      <w:spacing w:val="-2"/>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autoRedefine/>
    <w:uiPriority w:val="10"/>
    <w:rsid w:val="006B38F7"/>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6B38F7"/>
    <w:rPr>
      <w:rFonts w:ascii="Arial" w:eastAsia="Calibri" w:hAnsi="Arial" w:cs="Calibri"/>
      <w:b/>
      <w:bCs/>
      <w:color w:val="002664"/>
      <w:spacing w:val="-2"/>
      <w:sz w:val="60"/>
      <w:szCs w:val="60"/>
      <w:lang w:val="en-AU"/>
    </w:rPr>
  </w:style>
  <w:style w:type="paragraph" w:styleId="TOC1">
    <w:name w:val="toc 1"/>
    <w:basedOn w:val="Normal"/>
    <w:uiPriority w:val="39"/>
    <w:rsid w:val="006B38F7"/>
    <w:pPr>
      <w:tabs>
        <w:tab w:val="right" w:leader="dot" w:pos="8789"/>
      </w:tabs>
      <w:spacing w:before="80" w:after="120"/>
      <w:ind w:left="425" w:right="380" w:hanging="425"/>
    </w:pPr>
    <w:rPr>
      <w:rFonts w:cs="Arial"/>
      <w:noProof/>
    </w:rPr>
  </w:style>
  <w:style w:type="paragraph" w:styleId="TOC2">
    <w:name w:val="toc 2"/>
    <w:basedOn w:val="Normal"/>
    <w:uiPriority w:val="39"/>
    <w:rsid w:val="006B38F7"/>
    <w:pPr>
      <w:tabs>
        <w:tab w:val="right" w:leader="dot" w:pos="8789"/>
      </w:tabs>
      <w:spacing w:before="120"/>
      <w:ind w:left="709" w:right="380" w:hanging="425"/>
    </w:pPr>
    <w:rPr>
      <w:rFonts w:cs="Arial"/>
      <w:noProof/>
    </w:rPr>
  </w:style>
  <w:style w:type="paragraph" w:styleId="TOC3">
    <w:name w:val="toc 3"/>
    <w:basedOn w:val="TOC2"/>
    <w:uiPriority w:val="39"/>
    <w:rsid w:val="006B38F7"/>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autoRedefine/>
    <w:uiPriority w:val="39"/>
    <w:unhideWhenUsed/>
    <w:rsid w:val="006B38F7"/>
    <w:pPr>
      <w:pBdr>
        <w:bottom w:val="single" w:sz="4" w:space="1" w:color="auto"/>
      </w:pBdr>
    </w:pPr>
    <w:rPr>
      <w:b/>
      <w:color w:val="002664"/>
      <w:sz w:val="40"/>
    </w:rPr>
  </w:style>
  <w:style w:type="character" w:styleId="UnresolvedMention">
    <w:name w:val="Unresolved Mention"/>
    <w:basedOn w:val="DefaultParagraphFont"/>
    <w:uiPriority w:val="99"/>
    <w:semiHidden/>
    <w:unhideWhenUsed/>
    <w:rsid w:val="006B38F7"/>
    <w:rPr>
      <w:color w:val="605E5C"/>
      <w:shd w:val="clear" w:color="auto" w:fill="E1DFDD"/>
    </w:rPr>
  </w:style>
  <w:style w:type="paragraph" w:customStyle="1" w:styleId="Copyright">
    <w:name w:val="Copyright"/>
    <w:basedOn w:val="Normal"/>
    <w:uiPriority w:val="1"/>
    <w:rsid w:val="006B38F7"/>
    <w:pPr>
      <w:spacing w:after="120"/>
    </w:pPr>
    <w:rPr>
      <w:szCs w:val="20"/>
    </w:rPr>
  </w:style>
  <w:style w:type="paragraph" w:customStyle="1" w:styleId="Frontpage-Dates">
    <w:name w:val="Frontpage - Dates"/>
    <w:basedOn w:val="Normal"/>
    <w:next w:val="Normal"/>
    <w:uiPriority w:val="1"/>
    <w:rsid w:val="006B38F7"/>
    <w:rPr>
      <w:b/>
      <w:bCs/>
      <w:color w:val="002664"/>
      <w:sz w:val="36"/>
      <w:szCs w:val="36"/>
    </w:rPr>
  </w:style>
  <w:style w:type="paragraph" w:customStyle="1" w:styleId="Frontpage-Packageinfo">
    <w:name w:val="Frontpage - Package info"/>
    <w:basedOn w:val="Normal"/>
    <w:uiPriority w:val="1"/>
    <w:rsid w:val="006B38F7"/>
    <w:pPr>
      <w:spacing w:before="800" w:after="400"/>
    </w:pPr>
    <w:rPr>
      <w:b/>
      <w:bCs/>
      <w:sz w:val="28"/>
      <w:szCs w:val="28"/>
    </w:rPr>
  </w:style>
  <w:style w:type="character" w:customStyle="1" w:styleId="Heading7Char">
    <w:name w:val="Heading 7 Char"/>
    <w:basedOn w:val="DefaultParagraphFont"/>
    <w:link w:val="Heading7"/>
    <w:uiPriority w:val="9"/>
    <w:rsid w:val="006B38F7"/>
    <w:rPr>
      <w:rFonts w:ascii="Arial" w:eastAsiaTheme="majorEastAsia" w:hAnsi="Arial" w:cstheme="majorBidi"/>
      <w:b/>
      <w:bCs/>
      <w:iCs/>
      <w:color w:val="404040" w:themeColor="text1" w:themeTint="BF"/>
      <w:spacing w:val="-2"/>
      <w:sz w:val="20"/>
      <w:lang w:val="en-AU"/>
    </w:rPr>
  </w:style>
  <w:style w:type="paragraph" w:customStyle="1" w:styleId="HeadingTOC">
    <w:name w:val="Heading TOC"/>
    <w:basedOn w:val="Heading1"/>
    <w:autoRedefine/>
    <w:rsid w:val="006B38F7"/>
    <w:pPr>
      <w:keepNext/>
      <w:keepLines/>
      <w:widowControl/>
      <w:spacing w:before="0" w:after="120"/>
      <w:contextualSpacing/>
    </w:pPr>
    <w:rPr>
      <w:rFonts w:eastAsia="Arial" w:cs="Arial"/>
      <w:spacing w:val="0"/>
      <w:lang w:eastAsia="en-AU"/>
    </w:rPr>
  </w:style>
  <w:style w:type="character" w:customStyle="1" w:styleId="ListParagraphChar">
    <w:name w:val="List Paragraph Char"/>
    <w:basedOn w:val="DefaultParagraphFont"/>
    <w:link w:val="ListParagraph"/>
    <w:uiPriority w:val="34"/>
    <w:locked/>
    <w:rsid w:val="006B38F7"/>
    <w:rPr>
      <w:rFonts w:ascii="Arial" w:eastAsia="Arial" w:hAnsi="Arial" w:cs="Arial"/>
      <w:sz w:val="20"/>
      <w:szCs w:val="20"/>
      <w:lang w:eastAsia="en-AU"/>
    </w:rPr>
  </w:style>
  <w:style w:type="paragraph" w:customStyle="1" w:styleId="List-Dash">
    <w:name w:val="List - Dash"/>
    <w:basedOn w:val="ListParagraph"/>
    <w:uiPriority w:val="7"/>
    <w:rsid w:val="006B38F7"/>
    <w:pPr>
      <w:numPr>
        <w:numId w:val="0"/>
      </w:numPr>
      <w:ind w:left="-655" w:firstLine="1080"/>
    </w:pPr>
  </w:style>
  <w:style w:type="paragraph" w:customStyle="1" w:styleId="List-Dot">
    <w:name w:val="List - Dot"/>
    <w:basedOn w:val="ListParagraph"/>
    <w:uiPriority w:val="6"/>
    <w:rsid w:val="006B38F7"/>
    <w:pPr>
      <w:ind w:left="357" w:hanging="357"/>
    </w:pPr>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6B38F7"/>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6B38F7"/>
    <w:rPr>
      <w:color w:val="808080"/>
    </w:rPr>
  </w:style>
  <w:style w:type="paragraph" w:customStyle="1" w:styleId="Tablelist-Dash">
    <w:name w:val="Table list - Dash"/>
    <w:basedOn w:val="Normal"/>
    <w:rsid w:val="00CB008E"/>
    <w:pPr>
      <w:framePr w:hSpace="181" w:vSpace="181" w:wrap="around" w:vAnchor="text" w:hAnchor="text" w:y="1"/>
      <w:widowControl/>
      <w:spacing w:before="32" w:after="0" w:line="240" w:lineRule="auto"/>
      <w:suppressOverlap/>
    </w:pPr>
    <w:rPr>
      <w:rFonts w:eastAsia="Arial" w:cs="Arial"/>
      <w:spacing w:val="0"/>
      <w:szCs w:val="20"/>
      <w:lang w:eastAsia="en-AU"/>
    </w:rPr>
  </w:style>
  <w:style w:type="paragraph" w:customStyle="1" w:styleId="Astudent">
    <w:name w:val="A student:"/>
    <w:basedOn w:val="Normal"/>
    <w:rsid w:val="006B38F7"/>
    <w:pPr>
      <w:widowControl/>
      <w:spacing w:after="160"/>
    </w:pPr>
    <w:rPr>
      <w:rFonts w:eastAsia="Arial" w:cs="Arial"/>
      <w:spacing w:val="0"/>
      <w:szCs w:val="20"/>
      <w:lang w:eastAsia="en-AU"/>
    </w:rPr>
  </w:style>
  <w:style w:type="paragraph" w:styleId="Caption">
    <w:name w:val="caption"/>
    <w:basedOn w:val="Normal"/>
    <w:next w:val="Normal"/>
    <w:uiPriority w:val="35"/>
    <w:unhideWhenUsed/>
    <w:qFormat/>
    <w:rsid w:val="006B38F7"/>
    <w:pPr>
      <w:spacing w:after="200" w:line="240" w:lineRule="auto"/>
      <w:jc w:val="center"/>
    </w:pPr>
    <w:rPr>
      <w:i/>
      <w:iCs/>
      <w:color w:val="002664"/>
      <w:sz w:val="18"/>
      <w:szCs w:val="18"/>
      <w:lang w:eastAsia="en-GB"/>
    </w:rPr>
  </w:style>
  <w:style w:type="paragraph" w:customStyle="1" w:styleId="Default">
    <w:name w:val="Default"/>
    <w:rsid w:val="006B38F7"/>
    <w:pPr>
      <w:widowControl/>
      <w:adjustRightInd w:val="0"/>
    </w:pPr>
    <w:rPr>
      <w:rFonts w:ascii="Arial" w:eastAsiaTheme="minorEastAsia" w:hAnsi="Arial" w:cs="Arial"/>
      <w:color w:val="000000"/>
      <w:sz w:val="24"/>
      <w:szCs w:val="24"/>
      <w:lang w:val="en-AU"/>
    </w:rPr>
  </w:style>
  <w:style w:type="paragraph" w:customStyle="1" w:styleId="Exampleheading">
    <w:name w:val="Example heading"/>
    <w:basedOn w:val="ListParagraph"/>
    <w:link w:val="ExampleheadingChar"/>
    <w:autoRedefine/>
    <w:uiPriority w:val="1"/>
    <w:qFormat/>
    <w:rsid w:val="006B38F7"/>
    <w:pPr>
      <w:numPr>
        <w:numId w:val="0"/>
      </w:numPr>
    </w:pPr>
    <w:rPr>
      <w:b/>
      <w:bCs/>
      <w:color w:val="002664"/>
      <w:sz w:val="16"/>
    </w:rPr>
  </w:style>
  <w:style w:type="character" w:customStyle="1" w:styleId="ExampleheadingChar">
    <w:name w:val="Example heading Char"/>
    <w:basedOn w:val="ListParagraphChar"/>
    <w:link w:val="Exampleheading"/>
    <w:uiPriority w:val="1"/>
    <w:rsid w:val="006B38F7"/>
    <w:rPr>
      <w:rFonts w:ascii="Arial" w:eastAsia="Arial" w:hAnsi="Arial" w:cs="Arial"/>
      <w:b/>
      <w:bCs/>
      <w:color w:val="002664"/>
      <w:sz w:val="16"/>
      <w:szCs w:val="20"/>
      <w:lang w:eastAsia="en-AU"/>
    </w:rPr>
  </w:style>
  <w:style w:type="paragraph" w:customStyle="1" w:styleId="Examples">
    <w:name w:val="Examples"/>
    <w:basedOn w:val="Normal"/>
    <w:uiPriority w:val="1"/>
    <w:qFormat/>
    <w:rsid w:val="006B38F7"/>
    <w:pPr>
      <w:numPr>
        <w:numId w:val="14"/>
      </w:numPr>
      <w:shd w:val="clear" w:color="auto" w:fill="D9D9D9" w:themeFill="background1" w:themeFillShade="D9"/>
      <w:spacing w:after="200"/>
      <w:contextualSpacing/>
    </w:pPr>
  </w:style>
  <w:style w:type="paragraph" w:customStyle="1" w:styleId="FootnoteDoubledigit">
    <w:name w:val="Footnote: Double digit"/>
    <w:autoRedefine/>
    <w:uiPriority w:val="1"/>
    <w:qFormat/>
    <w:rsid w:val="006B38F7"/>
    <w:pPr>
      <w:widowControl/>
      <w:autoSpaceDE/>
      <w:autoSpaceDN/>
      <w:ind w:left="284" w:hanging="284"/>
    </w:pPr>
    <w:rPr>
      <w:rFonts w:ascii="Arial" w:eastAsia="Calibri" w:hAnsi="Arial"/>
      <w:color w:val="002664"/>
      <w:spacing w:val="-2"/>
      <w:sz w:val="16"/>
      <w:szCs w:val="20"/>
      <w:lang w:val="en-AU"/>
    </w:rPr>
  </w:style>
  <w:style w:type="paragraph" w:customStyle="1" w:styleId="FootnoteAdditionalexampledoubledigits">
    <w:name w:val="Footnote: Additional example double digits"/>
    <w:basedOn w:val="FootnoteDoubledigit"/>
    <w:uiPriority w:val="1"/>
    <w:qFormat/>
    <w:rsid w:val="006B38F7"/>
    <w:pPr>
      <w:ind w:hanging="142"/>
    </w:pPr>
  </w:style>
  <w:style w:type="paragraph" w:customStyle="1" w:styleId="FootnoteAdditionalexamplessingledigits">
    <w:name w:val="Footnote: Additional examples single digits"/>
    <w:autoRedefine/>
    <w:uiPriority w:val="1"/>
    <w:qFormat/>
    <w:rsid w:val="006B38F7"/>
    <w:pPr>
      <w:widowControl/>
      <w:autoSpaceDE/>
      <w:autoSpaceDN/>
      <w:ind w:left="233" w:hanging="142"/>
    </w:pPr>
    <w:rPr>
      <w:rFonts w:ascii="Arial" w:eastAsia="Calibri" w:hAnsi="Arial"/>
      <w:color w:val="002664"/>
      <w:spacing w:val="-2"/>
      <w:sz w:val="16"/>
      <w:szCs w:val="20"/>
      <w:lang w:val="en-AU"/>
    </w:rPr>
  </w:style>
  <w:style w:type="paragraph" w:customStyle="1" w:styleId="FootnoteSingledigit">
    <w:name w:val="Footnote: Single digit"/>
    <w:uiPriority w:val="1"/>
    <w:qFormat/>
    <w:rsid w:val="006B38F7"/>
    <w:pPr>
      <w:widowControl/>
      <w:autoSpaceDE/>
      <w:autoSpaceDN/>
      <w:ind w:left="227" w:hanging="227"/>
    </w:pPr>
    <w:rPr>
      <w:rFonts w:ascii="Arial" w:eastAsia="Calibri" w:hAnsi="Arial"/>
      <w:color w:val="002664"/>
      <w:spacing w:val="-2"/>
      <w:sz w:val="16"/>
      <w:szCs w:val="20"/>
      <w:lang w:val="en-AU"/>
    </w:rPr>
  </w:style>
  <w:style w:type="paragraph" w:customStyle="1" w:styleId="Listparagraph-Outcomes">
    <w:name w:val="List paragraph - Outcomes"/>
    <w:basedOn w:val="ListParagraph"/>
    <w:rsid w:val="006B38F7"/>
    <w:pPr>
      <w:numPr>
        <w:numId w:val="16"/>
      </w:numPr>
    </w:pPr>
  </w:style>
  <w:style w:type="paragraph" w:styleId="NormalWeb">
    <w:name w:val="Normal (Web)"/>
    <w:basedOn w:val="Normal"/>
    <w:uiPriority w:val="99"/>
    <w:unhideWhenUsed/>
    <w:rsid w:val="006B38F7"/>
    <w:pPr>
      <w:widowControl/>
      <w:spacing w:before="100" w:beforeAutospacing="1" w:after="100" w:afterAutospacing="1" w:line="240" w:lineRule="auto"/>
    </w:pPr>
    <w:rPr>
      <w:rFonts w:ascii="Calibri" w:eastAsiaTheme="minorHAnsi" w:hAnsi="Calibri" w:cs="Calibri"/>
      <w:spacing w:val="0"/>
      <w:sz w:val="22"/>
      <w:lang w:eastAsia="en-AU"/>
    </w:rPr>
  </w:style>
  <w:style w:type="paragraph" w:customStyle="1" w:styleId="RelatedLifeSkilloutcome">
    <w:name w:val="Related Life Skill outcome"/>
    <w:basedOn w:val="Normal"/>
    <w:uiPriority w:val="1"/>
    <w:qFormat/>
    <w:rsid w:val="006B38F7"/>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6B38F7"/>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6B38F7"/>
    <w:rPr>
      <w:rFonts w:ascii="Arial" w:eastAsia="Calibri" w:hAnsi="Arial"/>
      <w:spacing w:val="-2"/>
      <w:sz w:val="20"/>
      <w:lang w:val="en-AU"/>
    </w:rPr>
  </w:style>
  <w:style w:type="paragraph" w:customStyle="1" w:styleId="Secondbulletafterexample">
    <w:name w:val="Second bullet after example"/>
    <w:basedOn w:val="Normal"/>
    <w:uiPriority w:val="1"/>
    <w:qFormat/>
    <w:rsid w:val="006B38F7"/>
    <w:pPr>
      <w:widowControl/>
      <w:numPr>
        <w:numId w:val="18"/>
      </w:numPr>
      <w:spacing w:before="200" w:after="200"/>
      <w:contextualSpacing/>
    </w:pPr>
    <w:rPr>
      <w:rFonts w:eastAsia="Arial" w:cs="Arial"/>
      <w:spacing w:val="0"/>
      <w:szCs w:val="20"/>
      <w:lang w:val="en-US" w:eastAsia="en-AU"/>
    </w:rPr>
  </w:style>
  <w:style w:type="character" w:styleId="Strong">
    <w:name w:val="Strong"/>
    <w:basedOn w:val="DefaultParagraphFont"/>
    <w:uiPriority w:val="22"/>
    <w:rsid w:val="006B38F7"/>
    <w:rPr>
      <w:b/>
      <w:bCs/>
    </w:rPr>
  </w:style>
  <w:style w:type="table" w:customStyle="1" w:styleId="TableGrid3">
    <w:name w:val="Table Grid3"/>
    <w:basedOn w:val="TableNormal"/>
    <w:next w:val="TableGrid"/>
    <w:uiPriority w:val="39"/>
    <w:rsid w:val="006B38F7"/>
    <w:pPr>
      <w:widowControl/>
      <w:autoSpaceDE/>
      <w:autoSpaceDN/>
    </w:pPr>
    <w:rPr>
      <w:rFonts w:ascii="Arial" w:eastAsia="Arial" w:hAnsi="Arial" w:cs="Arial"/>
      <w:spacing w:val="-2"/>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B38F7"/>
    <w:pPr>
      <w:widowControl/>
      <w:spacing w:after="0"/>
    </w:pPr>
    <w:rPr>
      <w:rFonts w:eastAsia="Arial" w:cs="Arial"/>
      <w:spacing w:val="0"/>
      <w:szCs w:val="20"/>
      <w:lang w:eastAsia="en-AU"/>
    </w:rPr>
  </w:style>
  <w:style w:type="paragraph" w:styleId="Revision">
    <w:name w:val="Revision"/>
    <w:hidden/>
    <w:uiPriority w:val="99"/>
    <w:semiHidden/>
    <w:rsid w:val="00B80630"/>
    <w:pPr>
      <w:widowControl/>
      <w:autoSpaceDE/>
      <w:autoSpaceDN/>
    </w:pPr>
    <w:rPr>
      <w:rFonts w:ascii="Arial" w:eastAsia="Calibri" w:hAnsi="Arial"/>
      <w:spacing w:val="-2"/>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e9cc0-4274-4a56-9e0f-3ccadffaf5b5" xsi:nil="true"/>
    <lcf76f155ced4ddcb4097134ff3c332f xmlns="6d675145-75b6-4d71-a4df-59b092cf21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84658AA63B945ADCDDDD85B9334BA" ma:contentTypeVersion="12" ma:contentTypeDescription="Create a new document." ma:contentTypeScope="" ma:versionID="eb807f4891864ec91abe62c418b254e8">
  <xsd:schema xmlns:xsd="http://www.w3.org/2001/XMLSchema" xmlns:xs="http://www.w3.org/2001/XMLSchema" xmlns:p="http://schemas.microsoft.com/office/2006/metadata/properties" xmlns:ns2="6d675145-75b6-4d71-a4df-59b092cf21b4" xmlns:ns3="a23e9cc0-4274-4a56-9e0f-3ccadffaf5b5" xmlns:ns4="13fcc74b-f3f5-414f-a3fa-01e0cc5d5a4e" targetNamespace="http://schemas.microsoft.com/office/2006/metadata/properties" ma:root="true" ma:fieldsID="af0ba270f1c6d124743f688daafe182e" ns2:_="" ns3:_="" ns4:_="">
    <xsd:import namespace="6d675145-75b6-4d71-a4df-59b092cf21b4"/>
    <xsd:import namespace="a23e9cc0-4274-4a56-9e0f-3ccadffaf5b5"/>
    <xsd:import namespace="13fcc74b-f3f5-414f-a3fa-01e0cc5d5a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75145-75b6-4d71-a4df-59b092cf2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280ef27-e2c6-4316-a668-c8fd401972f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e9cc0-4274-4a56-9e0f-3ccadffaf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a83881-922d-41f4-8304-edb0e2e70ff4}" ma:internalName="TaxCatchAll" ma:showField="CatchAllData" ma:web="13fcc74b-f3f5-414f-a3fa-01e0cc5d5a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cc74b-f3f5-414f-a3fa-01e0cc5d5a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D0050D5-759C-40B0-BC3E-473DC913F418}">
  <ds:schemaRefs>
    <ds:schemaRef ds:uri="http://schemas.microsoft.com/office/2006/metadata/properties"/>
    <ds:schemaRef ds:uri="http://schemas.microsoft.com/office/infopath/2007/PartnerControls"/>
    <ds:schemaRef ds:uri="a23e9cc0-4274-4a56-9e0f-3ccadffaf5b5"/>
    <ds:schemaRef ds:uri="6d675145-75b6-4d71-a4df-59b092cf21b4"/>
  </ds:schemaRefs>
</ds:datastoreItem>
</file>

<file path=customXml/itemProps2.xml><?xml version="1.0" encoding="utf-8"?>
<ds:datastoreItem xmlns:ds="http://schemas.openxmlformats.org/officeDocument/2006/customXml" ds:itemID="{0EA58892-16A2-4E0B-A265-8C0E7B7F2789}">
  <ds:schemaRefs>
    <ds:schemaRef ds:uri="http://schemas.microsoft.com/sharepoint/v3/contenttype/forms"/>
  </ds:schemaRefs>
</ds:datastoreItem>
</file>

<file path=customXml/itemProps3.xml><?xml version="1.0" encoding="utf-8"?>
<ds:datastoreItem xmlns:ds="http://schemas.openxmlformats.org/officeDocument/2006/customXml" ds:itemID="{19108F10-6657-4562-AF0D-7E02AB66F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75145-75b6-4d71-a4df-59b092cf21b4"/>
    <ds:schemaRef ds:uri="a23e9cc0-4274-4a56-9e0f-3ccadffaf5b5"/>
    <ds:schemaRef ds:uri="13fcc74b-f3f5-414f-a3fa-01e0cc5d5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5602E-3327-4A8E-B84F-A6538064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Health and Movement Science Year 12 (120 hours): Sample scope and sequence</vt:lpstr>
    </vt:vector>
  </TitlesOfParts>
  <Company>Board of Studies, Teaching and Educational Standards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Year 12 (120 hours): Sample scope and sequence</dc:title>
  <dc:creator>NSW Education Standards Authority</dc:creator>
  <cp:lastModifiedBy>Liz Jones</cp:lastModifiedBy>
  <cp:revision>14</cp:revision>
  <dcterms:created xsi:type="dcterms:W3CDTF">2023-04-13T00:42:00Z</dcterms:created>
  <dcterms:modified xsi:type="dcterms:W3CDTF">2023-04-19T01:48:00Z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0x010100C9884658AA63B945ADCDDDD85B9334BA</vt:lpwstr>
  </property>
  <property fmtid="{D5CDD505-2E9C-101B-9397-08002B2CF9AE}" pid="6" name="MediaServiceImageTags">
    <vt:lpwstr/>
  </property>
</Properties>
</file>